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中山大学附属第六医院粤西医院/信宜市人民医院污水处理用双氧水项目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4"/>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5149"/>
      <w:bookmarkStart w:id="2" w:name="_Toc13070"/>
      <w:bookmarkStart w:id="3" w:name="_Toc26517"/>
      <w:bookmarkStart w:id="4" w:name="_Toc31916"/>
      <w:bookmarkStart w:id="5" w:name="_Toc24270"/>
      <w:bookmarkStart w:id="6" w:name="_Toc27471"/>
      <w:bookmarkStart w:id="7" w:name="_Toc21602"/>
      <w:bookmarkStart w:id="8" w:name="_Toc2335"/>
      <w:bookmarkStart w:id="9" w:name="_Toc29248"/>
      <w:bookmarkStart w:id="10" w:name="OLE_LINK2"/>
      <w:r>
        <w:rPr>
          <w:rStyle w:val="24"/>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5"/>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8638"/>
      <w:bookmarkStart w:id="14" w:name="_Toc97042584"/>
      <w:bookmarkStart w:id="15" w:name="_Toc26829"/>
      <w:bookmarkStart w:id="16" w:name="_Toc2264"/>
      <w:bookmarkStart w:id="17" w:name="_Toc30412"/>
      <w:bookmarkStart w:id="18" w:name="_Toc97049454"/>
      <w:bookmarkStart w:id="19" w:name="_Toc5199"/>
      <w:bookmarkStart w:id="20" w:name="_Toc4906"/>
      <w:bookmarkStart w:id="21" w:name="_Toc97049020"/>
      <w:bookmarkStart w:id="22" w:name="_Toc24578"/>
      <w:bookmarkStart w:id="23" w:name="_Toc97048960"/>
      <w:bookmarkStart w:id="24" w:name="_Toc16481"/>
      <w:bookmarkStart w:id="25" w:name="_Toc23776"/>
      <w:bookmarkStart w:id="26" w:name="_Toc20694"/>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16745"/>
      <w:bookmarkStart w:id="30" w:name="_Toc97042585"/>
      <w:bookmarkStart w:id="31" w:name="_Toc23683"/>
      <w:bookmarkStart w:id="32" w:name="_Toc10807"/>
      <w:bookmarkStart w:id="33" w:name="_Toc25676"/>
      <w:bookmarkStart w:id="34" w:name="_Toc97048961"/>
      <w:bookmarkStart w:id="35" w:name="_Toc26692"/>
      <w:bookmarkStart w:id="36" w:name="_Toc97048639"/>
      <w:bookmarkStart w:id="37" w:name="_Toc97049021"/>
      <w:bookmarkStart w:id="38" w:name="_Toc97049455"/>
      <w:bookmarkStart w:id="39" w:name="_Toc24157"/>
      <w:bookmarkStart w:id="40" w:name="_Toc9552"/>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FF0000"/>
          <w:lang w:eastAsia="zh-CN"/>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5"/>
        <w:jc w:val="both"/>
        <w:rPr>
          <w:rFonts w:hint="eastAsia" w:ascii="宋体" w:hAnsi="宋体" w:eastAsia="宋体" w:cs="宋体"/>
          <w:sz w:val="30"/>
          <w:szCs w:val="30"/>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bookmarkEnd w:id="69"/>
      <w:bookmarkEnd w:id="70"/>
      <w:bookmarkEnd w:id="71"/>
      <w:bookmarkEnd w:id="72"/>
      <w:bookmarkEnd w:id="73"/>
      <w:bookmarkEnd w:id="74"/>
      <w:bookmarkEnd w:id="75"/>
      <w:bookmarkEnd w:id="76"/>
      <w:r>
        <w:rPr>
          <w:rFonts w:hint="eastAsia" w:ascii="宋体" w:hAnsi="宋体" w:eastAsia="宋体" w:cs="宋体"/>
          <w:sz w:val="30"/>
          <w:szCs w:val="30"/>
        </w:rPr>
        <w:t>磋商原则</w:t>
      </w:r>
    </w:p>
    <w:p>
      <w:pPr>
        <w:spacing w:line="360" w:lineRule="auto"/>
        <w:ind w:firstLine="480" w:firstLineChars="200"/>
        <w:rPr>
          <w:rFonts w:hint="eastAsia"/>
          <w:sz w:val="24"/>
        </w:rPr>
      </w:pPr>
      <w:r>
        <w:rPr>
          <w:rFonts w:hint="eastAsia"/>
          <w:sz w:val="24"/>
        </w:rPr>
        <w:t>1.评审小组随机确定供应商的磋商次序。</w:t>
      </w:r>
    </w:p>
    <w:p>
      <w:pPr>
        <w:spacing w:line="360" w:lineRule="auto"/>
        <w:ind w:firstLine="480" w:firstLineChars="200"/>
        <w:rPr>
          <w:rFonts w:hint="eastAsia"/>
          <w:sz w:val="24"/>
        </w:rPr>
      </w:pPr>
      <w:r>
        <w:rPr>
          <w:rFonts w:hint="eastAsia"/>
          <w:sz w:val="24"/>
        </w:rPr>
        <w:t>2.评审小组首先审查供应商的资格，然后按磋商次序与供应商分别进行磋商。</w:t>
      </w:r>
    </w:p>
    <w:p>
      <w:pPr>
        <w:spacing w:line="360" w:lineRule="auto"/>
        <w:ind w:firstLine="480" w:firstLineChars="200"/>
        <w:rPr>
          <w:rFonts w:hint="eastAsia"/>
          <w:sz w:val="24"/>
        </w:rPr>
      </w:pPr>
      <w:r>
        <w:rPr>
          <w:rFonts w:hint="eastAsia"/>
          <w:sz w:val="24"/>
        </w:rPr>
        <w:t>3.评审内容：对通过初步评审的报名文件进行商务、技术和价格的评审。</w:t>
      </w:r>
    </w:p>
    <w:p>
      <w:pPr>
        <w:spacing w:line="360" w:lineRule="auto"/>
        <w:ind w:firstLine="480" w:firstLineChars="200"/>
        <w:rPr>
          <w:rFonts w:hint="eastAsia"/>
          <w:sz w:val="24"/>
        </w:rPr>
      </w:pPr>
      <w:r>
        <w:rPr>
          <w:rFonts w:hint="eastAsia"/>
          <w:sz w:val="24"/>
        </w:rPr>
        <w:t>4.分值（权重）分配</w:t>
      </w:r>
    </w:p>
    <w:p>
      <w:pPr>
        <w:spacing w:line="360" w:lineRule="auto"/>
        <w:ind w:firstLine="480" w:firstLineChars="200"/>
        <w:rPr>
          <w:rFonts w:hint="eastAsia"/>
          <w:sz w:val="24"/>
        </w:rPr>
      </w:pPr>
      <w:r>
        <w:rPr>
          <w:rFonts w:hint="eastAsia"/>
          <w:sz w:val="24"/>
        </w:rPr>
        <w:t>4.1 评分总值最高为100分，商务、技术及最终报价得分分值（权重）、分值设置如下：</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160"/>
        <w:gridCol w:w="25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jc w:val="center"/>
              <w:rPr>
                <w:rFonts w:hint="eastAsia"/>
                <w:sz w:val="24"/>
              </w:rPr>
            </w:pPr>
            <w:r>
              <w:rPr>
                <w:rFonts w:hint="eastAsia"/>
                <w:sz w:val="24"/>
              </w:rPr>
              <w:t>评分项目</w:t>
            </w:r>
          </w:p>
        </w:tc>
        <w:tc>
          <w:tcPr>
            <w:tcW w:w="2160" w:type="dxa"/>
            <w:vAlign w:val="center"/>
          </w:tcPr>
          <w:p>
            <w:pPr>
              <w:spacing w:line="360" w:lineRule="auto"/>
              <w:ind w:left="1198" w:leftChars="342" w:hanging="480" w:hangingChars="200"/>
              <w:jc w:val="center"/>
              <w:rPr>
                <w:rFonts w:hint="eastAsia"/>
                <w:sz w:val="24"/>
              </w:rPr>
            </w:pPr>
            <w:r>
              <w:rPr>
                <w:rFonts w:hint="eastAsia"/>
                <w:sz w:val="24"/>
              </w:rPr>
              <w:t>技术评分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商务评分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02" w:type="dxa"/>
            <w:vAlign w:val="center"/>
          </w:tcPr>
          <w:p>
            <w:pPr>
              <w:spacing w:line="360" w:lineRule="auto"/>
              <w:ind w:left="1198" w:leftChars="342" w:hanging="480" w:hangingChars="200"/>
              <w:jc w:val="center"/>
              <w:rPr>
                <w:rFonts w:hint="eastAsia"/>
                <w:sz w:val="24"/>
              </w:rPr>
            </w:pPr>
            <w:r>
              <w:rPr>
                <w:rFonts w:hint="eastAsia"/>
                <w:sz w:val="24"/>
              </w:rPr>
              <w:t>分值</w:t>
            </w:r>
          </w:p>
        </w:tc>
        <w:tc>
          <w:tcPr>
            <w:tcW w:w="2160" w:type="dxa"/>
            <w:vAlign w:val="center"/>
          </w:tcPr>
          <w:p>
            <w:pPr>
              <w:spacing w:line="360" w:lineRule="auto"/>
              <w:ind w:left="1198" w:leftChars="342" w:hanging="480" w:hangingChars="200"/>
              <w:jc w:val="center"/>
              <w:rPr>
                <w:rFonts w:hint="eastAsia"/>
                <w:sz w:val="24"/>
              </w:rPr>
            </w:pPr>
            <w:r>
              <w:rPr>
                <w:rFonts w:hint="eastAsia"/>
                <w:sz w:val="24"/>
              </w:rPr>
              <w:t>40分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c>
          <w:tcPr>
            <w:tcW w:w="2572" w:type="dxa"/>
            <w:vAlign w:val="center"/>
          </w:tcPr>
          <w:p>
            <w:pPr>
              <w:spacing w:line="360" w:lineRule="auto"/>
              <w:ind w:left="1198" w:leftChars="342" w:hanging="480" w:hangingChars="200"/>
              <w:jc w:val="center"/>
              <w:rPr>
                <w:rFonts w:hint="eastAsia"/>
                <w:sz w:val="24"/>
              </w:rPr>
            </w:pPr>
            <w:r>
              <w:rPr>
                <w:rFonts w:hint="eastAsia"/>
                <w:sz w:val="24"/>
              </w:rPr>
              <w:t>30分</w:t>
            </w:r>
          </w:p>
        </w:tc>
      </w:tr>
    </w:tbl>
    <w:p>
      <w:pPr>
        <w:spacing w:line="360" w:lineRule="auto"/>
        <w:ind w:left="1198" w:leftChars="342" w:hanging="480" w:hangingChars="200"/>
        <w:rPr>
          <w:rFonts w:hint="eastAsia"/>
          <w:sz w:val="24"/>
        </w:rPr>
      </w:pPr>
    </w:p>
    <w:p>
      <w:pPr>
        <w:spacing w:line="360" w:lineRule="auto"/>
        <w:rPr>
          <w:rFonts w:hint="eastAsia"/>
          <w:sz w:val="24"/>
        </w:rPr>
      </w:pPr>
      <w:r>
        <w:rPr>
          <w:rFonts w:hint="eastAsia"/>
          <w:sz w:val="24"/>
        </w:rPr>
        <w:t>4.2 商务评分：评审小组就各报名文件对商务评审内容的各项要求进行评分，评审的具体内容见《商务评审表》：</w:t>
      </w:r>
    </w:p>
    <w:p>
      <w:pPr>
        <w:spacing w:line="360" w:lineRule="auto"/>
        <w:jc w:val="center"/>
        <w:rPr>
          <w:rFonts w:hint="eastAsia" w:ascii="宋体" w:hAnsi="宋体" w:cs="宋体"/>
          <w:b/>
          <w:kern w:val="1"/>
          <w:sz w:val="24"/>
        </w:rPr>
      </w:pPr>
      <w:r>
        <w:rPr>
          <w:rFonts w:hint="eastAsia" w:ascii="宋体" w:hAnsi="宋体" w:cs="宋体"/>
          <w:b/>
          <w:kern w:val="1"/>
          <w:sz w:val="24"/>
        </w:rPr>
        <w:t>商务评审表</w:t>
      </w:r>
    </w:p>
    <w:tbl>
      <w:tblPr>
        <w:tblStyle w:val="20"/>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08"/>
        <w:gridCol w:w="641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698" w:type="dxa"/>
            <w:vAlign w:val="center"/>
          </w:tcPr>
          <w:p>
            <w:pPr>
              <w:snapToGrid w:val="0"/>
              <w:spacing w:line="276" w:lineRule="auto"/>
              <w:jc w:val="center"/>
              <w:rPr>
                <w:rFonts w:hint="eastAsia" w:ascii="宋体" w:hAnsi="宋体"/>
                <w:b/>
                <w:szCs w:val="21"/>
              </w:rPr>
            </w:pPr>
            <w:r>
              <w:rPr>
                <w:rFonts w:hint="eastAsia" w:ascii="宋体" w:hAnsi="宋体"/>
                <w:b/>
                <w:szCs w:val="21"/>
              </w:rPr>
              <w:t>序号</w:t>
            </w:r>
          </w:p>
        </w:tc>
        <w:tc>
          <w:tcPr>
            <w:tcW w:w="1708" w:type="dxa"/>
            <w:vAlign w:val="center"/>
          </w:tcPr>
          <w:p>
            <w:pPr>
              <w:snapToGrid w:val="0"/>
              <w:spacing w:line="276" w:lineRule="auto"/>
              <w:jc w:val="center"/>
              <w:rPr>
                <w:rFonts w:ascii="宋体" w:hAnsi="宋体"/>
                <w:b/>
                <w:szCs w:val="21"/>
              </w:rPr>
            </w:pPr>
            <w:r>
              <w:rPr>
                <w:rFonts w:hint="eastAsia" w:ascii="宋体" w:hAnsi="宋体"/>
                <w:b/>
                <w:szCs w:val="21"/>
              </w:rPr>
              <w:t>评审项目</w:t>
            </w:r>
          </w:p>
        </w:tc>
        <w:tc>
          <w:tcPr>
            <w:tcW w:w="6412" w:type="dxa"/>
            <w:vAlign w:val="center"/>
          </w:tcPr>
          <w:p>
            <w:pPr>
              <w:snapToGrid w:val="0"/>
              <w:spacing w:line="276" w:lineRule="auto"/>
              <w:jc w:val="center"/>
              <w:rPr>
                <w:rFonts w:ascii="宋体" w:hAnsi="宋体"/>
                <w:b/>
                <w:szCs w:val="21"/>
              </w:rPr>
            </w:pPr>
            <w:r>
              <w:rPr>
                <w:rFonts w:hint="eastAsia" w:ascii="宋体" w:hAnsi="宋体"/>
                <w:b/>
                <w:szCs w:val="21"/>
              </w:rPr>
              <w:t>评审细则</w:t>
            </w:r>
          </w:p>
        </w:tc>
        <w:tc>
          <w:tcPr>
            <w:tcW w:w="843" w:type="dxa"/>
            <w:vAlign w:val="center"/>
          </w:tcPr>
          <w:p>
            <w:pPr>
              <w:snapToGrid w:val="0"/>
              <w:spacing w:line="276" w:lineRule="auto"/>
              <w:ind w:left="-63" w:leftChars="-30" w:right="-139" w:rightChars="-66"/>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一般性商务条款（非“★”、“▲”号商务条款）响应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根据报名文件对商务要求条款中的一般性商务要求（非“★”、“▲”号商务条款）的响应情况进行评审（共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分，扣完为止。</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08" w:type="dxa"/>
            <w:vAlign w:val="center"/>
          </w:tcPr>
          <w:p>
            <w:pPr>
              <w:spacing w:line="276" w:lineRule="auto"/>
              <w:jc w:val="center"/>
              <w:rPr>
                <w:rFonts w:hint="eastAsia" w:ascii="宋体" w:hAnsi="宋体" w:cs="宋体"/>
                <w:szCs w:val="21"/>
              </w:rPr>
            </w:pPr>
            <w:r>
              <w:rPr>
                <w:rFonts w:hint="eastAsia" w:ascii="宋体" w:hAnsi="宋体" w:cs="宋体"/>
                <w:color w:val="000000"/>
                <w:kern w:val="0"/>
                <w:szCs w:val="21"/>
                <w:lang w:bidi="ar"/>
              </w:rPr>
              <w:t>重要性商务条款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w:t>
            </w:r>
            <w:r>
              <w:rPr>
                <w:rFonts w:hint="eastAsia"/>
                <w:color w:val="000000" w:themeColor="text1"/>
                <w:sz w:val="24"/>
                <w:highlight w:val="none"/>
                <w14:textFill>
                  <w14:solidFill>
                    <w14:schemeClr w14:val="tx1"/>
                  </w14:solidFill>
                </w14:textFill>
              </w:rPr>
              <w:t>的条款为重要性</w:t>
            </w:r>
            <w:r>
              <w:rPr>
                <w:rFonts w:hint="eastAsia"/>
                <w:color w:val="000000" w:themeColor="text1"/>
                <w:sz w:val="24"/>
                <w:highlight w:val="none"/>
                <w:lang w:eastAsia="zh-CN"/>
                <w14:textFill>
                  <w14:solidFill>
                    <w14:schemeClr w14:val="tx1"/>
                  </w14:solidFill>
                </w14:textFill>
              </w:rPr>
              <w:t>条款）响应</w:t>
            </w:r>
          </w:p>
        </w:tc>
        <w:tc>
          <w:tcPr>
            <w:tcW w:w="6412"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根据报名文件对商务要求条款中的重要性商务要求（</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“▲”号商务条款）的响应情况进行评审（共</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项，每项</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分，总计</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分）：全部一般性商务要求响应情况为“正偏离”或“符合”或“无偏离”的，得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分；每有一项一般性商务要求响应情况为“负偏离”的，扣</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分，扣完为止。</w:t>
            </w:r>
          </w:p>
          <w:p>
            <w:pPr>
              <w:pStyle w:val="2"/>
              <w:ind w:firstLine="0" w:firstLineChars="0"/>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备注：</w:t>
            </w:r>
            <w:r>
              <w:rPr>
                <w:rFonts w:hint="eastAsia" w:ascii="宋体" w:hAnsi="宋体" w:cs="宋体"/>
                <w:color w:val="000000"/>
                <w:kern w:val="0"/>
                <w:szCs w:val="21"/>
                <w:lang w:bidi="ar"/>
              </w:rPr>
              <w:t>1</w:t>
            </w:r>
            <w:r>
              <w:rPr>
                <w:rFonts w:hint="eastAsia"/>
                <w:kern w:val="0"/>
                <w:szCs w:val="21"/>
              </w:rPr>
              <w:t>、</w:t>
            </w:r>
            <w:r>
              <w:rPr>
                <w:rFonts w:hint="eastAsia" w:ascii="宋体" w:hAnsi="宋体" w:cs="宋体"/>
                <w:color w:val="000000"/>
                <w:kern w:val="0"/>
                <w:szCs w:val="21"/>
                <w:lang w:bidi="ar"/>
              </w:rPr>
              <w:t>有多级序号的，以一级编号为最小评审单位</w:t>
            </w:r>
            <w:r>
              <w:rPr>
                <w:rFonts w:hint="eastAsia" w:ascii="宋体" w:hAnsi="宋体" w:cs="宋体"/>
                <w:color w:val="FF0000"/>
                <w:kern w:val="0"/>
                <w:szCs w:val="21"/>
                <w:lang w:bidi="ar"/>
              </w:rPr>
              <w:t>计算</w:t>
            </w:r>
            <w:r>
              <w:rPr>
                <w:rFonts w:hint="eastAsia" w:ascii="宋体" w:hAnsi="宋体" w:cs="宋体"/>
                <w:color w:val="000000"/>
                <w:kern w:val="0"/>
                <w:szCs w:val="21"/>
                <w:lang w:bidi="ar"/>
              </w:rPr>
              <w:t>；2</w:t>
            </w:r>
            <w:r>
              <w:rPr>
                <w:rFonts w:hint="eastAsia"/>
                <w:kern w:val="0"/>
                <w:szCs w:val="21"/>
              </w:rPr>
              <w:t>、如有要求证明文件，但响应情况和证明文件有出入的，以响应情况为准</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698"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08" w:type="dxa"/>
            <w:vAlign w:val="center"/>
          </w:tcPr>
          <w:p>
            <w:pPr>
              <w:spacing w:line="276" w:lineRule="auto"/>
              <w:jc w:val="center"/>
              <w:rPr>
                <w:rFonts w:hint="eastAsia" w:ascii="宋体" w:hAnsi="宋体" w:cs="宋体"/>
                <w:szCs w:val="21"/>
              </w:rPr>
            </w:pPr>
            <w:r>
              <w:rPr>
                <w:rFonts w:hint="eastAsia" w:ascii="宋体" w:hAnsi="宋体" w:cs="宋体"/>
                <w:szCs w:val="21"/>
              </w:rPr>
              <w:t>同类项目业绩</w:t>
            </w:r>
          </w:p>
        </w:tc>
        <w:tc>
          <w:tcPr>
            <w:tcW w:w="6412" w:type="dxa"/>
            <w:vAlign w:val="center"/>
          </w:tcPr>
          <w:p>
            <w:pPr>
              <w:pStyle w:val="2"/>
              <w:ind w:firstLine="0" w:firstLineChars="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提供报名人自202</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年1月1日至今同类业绩（</w:t>
            </w:r>
            <w:r>
              <w:rPr>
                <w:rFonts w:hint="eastAsia" w:ascii="宋体" w:hAnsi="宋体" w:cs="宋体"/>
                <w:color w:val="FF0000"/>
                <w:kern w:val="0"/>
                <w:sz w:val="21"/>
                <w:szCs w:val="21"/>
                <w:lang w:bidi="ar"/>
              </w:rPr>
              <w:t>同类是</w:t>
            </w:r>
            <w:r>
              <w:rPr>
                <w:rFonts w:hint="eastAsia" w:ascii="宋体" w:hAnsi="宋体" w:cs="宋体"/>
                <w:color w:val="FF0000"/>
                <w:kern w:val="0"/>
                <w:sz w:val="21"/>
                <w:szCs w:val="21"/>
                <w:lang w:eastAsia="zh-CN" w:bidi="ar"/>
              </w:rPr>
              <w:t>指双氧水</w:t>
            </w:r>
            <w:r>
              <w:rPr>
                <w:rFonts w:hint="eastAsia" w:ascii="宋体" w:hAnsi="宋体" w:cs="宋体"/>
                <w:color w:val="FF0000"/>
                <w:kern w:val="0"/>
                <w:sz w:val="21"/>
                <w:szCs w:val="21"/>
                <w:lang w:bidi="ar"/>
              </w:rPr>
              <w:t>采购</w:t>
            </w:r>
            <w:r>
              <w:rPr>
                <w:rFonts w:hint="eastAsia" w:ascii="宋体" w:hAnsi="宋体" w:cs="宋体"/>
                <w:bCs/>
                <w:sz w:val="24"/>
              </w:rPr>
              <w:t>相关业绩</w:t>
            </w:r>
            <w:r>
              <w:rPr>
                <w:rFonts w:hint="eastAsia" w:ascii="宋体" w:hAnsi="宋体" w:cs="宋体"/>
                <w:color w:val="000000"/>
                <w:kern w:val="0"/>
                <w:sz w:val="21"/>
                <w:szCs w:val="21"/>
                <w:lang w:bidi="ar"/>
              </w:rPr>
              <w:t>），每提供一项同类项目业绩得</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分，最高得</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分。</w:t>
            </w:r>
          </w:p>
          <w:p>
            <w:pPr>
              <w:pStyle w:val="2"/>
              <w:ind w:firstLine="0" w:firstLineChars="0"/>
              <w:rPr>
                <w:rFonts w:hint="eastAsia" w:ascii="宋体" w:hAnsi="宋体"/>
                <w:sz w:val="21"/>
                <w:szCs w:val="21"/>
              </w:rPr>
            </w:pPr>
            <w:r>
              <w:rPr>
                <w:rFonts w:hint="eastAsia" w:ascii="宋体" w:hAnsi="宋体" w:cs="宋体"/>
                <w:color w:val="000000"/>
                <w:kern w:val="0"/>
                <w:sz w:val="21"/>
                <w:szCs w:val="21"/>
                <w:lang w:bidi="ar"/>
              </w:rPr>
              <w:t>注：以合同签订时间为准，与同一用户单位签订的多份同类项目业绩不累计计分。需附上合同关键页作为证明材料（含签订合同双方的单位名称、合同项目名称、合同金额、签订合同双方的落款盖章、签订日期等的关键页）</w:t>
            </w:r>
          </w:p>
        </w:tc>
        <w:tc>
          <w:tcPr>
            <w:tcW w:w="843"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698"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708" w:type="dxa"/>
            <w:vAlign w:val="center"/>
          </w:tcPr>
          <w:p>
            <w:pPr>
              <w:spacing w:line="276" w:lineRule="auto"/>
              <w:jc w:val="center"/>
              <w:rPr>
                <w:rFonts w:hint="eastAsia" w:ascii="宋体" w:hAnsi="宋体" w:cs="宋体"/>
                <w:kern w:val="0"/>
                <w:szCs w:val="21"/>
              </w:rPr>
            </w:pPr>
            <w:r>
              <w:rPr>
                <w:rFonts w:hint="eastAsia" w:ascii="宋体" w:hAnsi="宋体" w:cs="宋体"/>
                <w:kern w:val="0"/>
                <w:szCs w:val="21"/>
              </w:rPr>
              <w:t>用户评价</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分，本项最高</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分。</w:t>
            </w:r>
          </w:p>
          <w:p>
            <w:pPr>
              <w:jc w:val="left"/>
              <w:rPr>
                <w:rFonts w:hint="eastAsia" w:ascii="宋体" w:hAnsi="宋体" w:cs="宋体"/>
                <w:szCs w:val="21"/>
                <w:highlight w:val="white"/>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 ③用户满意度评价须经用户单位盖章，评价情况至少须为满意或类似好评的方可计分。</w:t>
            </w:r>
          </w:p>
        </w:tc>
        <w:tc>
          <w:tcPr>
            <w:tcW w:w="843"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698" w:type="dxa"/>
            <w:vAlign w:val="center"/>
          </w:tcPr>
          <w:p>
            <w:pPr>
              <w:spacing w:line="276" w:lineRule="auto"/>
              <w:jc w:val="center"/>
              <w:rPr>
                <w:rFonts w:hint="eastAsia" w:ascii="宋体" w:hAnsi="宋体"/>
                <w:szCs w:val="21"/>
              </w:rPr>
            </w:pPr>
            <w:r>
              <w:rPr>
                <w:rFonts w:hint="eastAsia" w:ascii="宋体" w:hAnsi="宋体" w:cs="宋体"/>
                <w:szCs w:val="21"/>
              </w:rPr>
              <w:t>5</w:t>
            </w:r>
          </w:p>
        </w:tc>
        <w:tc>
          <w:tcPr>
            <w:tcW w:w="1708" w:type="dxa"/>
            <w:vAlign w:val="center"/>
          </w:tcPr>
          <w:p>
            <w:pPr>
              <w:spacing w:line="276" w:lineRule="auto"/>
              <w:jc w:val="center"/>
              <w:rPr>
                <w:rFonts w:hint="eastAsia" w:ascii="宋体" w:hAnsi="宋体"/>
                <w:szCs w:val="21"/>
              </w:rPr>
            </w:pPr>
            <w:r>
              <w:rPr>
                <w:rFonts w:hint="eastAsia" w:ascii="宋体" w:hAnsi="宋体" w:cs="宋体"/>
                <w:color w:val="000000"/>
                <w:kern w:val="0"/>
                <w:szCs w:val="21"/>
                <w:lang w:bidi="ar"/>
              </w:rPr>
              <w:t>管理体系认证</w:t>
            </w:r>
          </w:p>
        </w:tc>
        <w:tc>
          <w:tcPr>
            <w:tcW w:w="6412"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每提供以下一项有效期内的报名人的认证证书，</w:t>
            </w:r>
            <w:r>
              <w:rPr>
                <w:rFonts w:hint="eastAsia" w:ascii="宋体" w:hAnsi="宋体" w:cs="宋体"/>
                <w:szCs w:val="21"/>
              </w:rPr>
              <w:t>到达年度审查时间的须同时提供有效的最新年度审查证明文件，</w:t>
            </w:r>
            <w:r>
              <w:rPr>
                <w:rFonts w:hint="eastAsia" w:ascii="宋体" w:hAnsi="宋体" w:cs="宋体"/>
                <w:color w:val="000000"/>
                <w:kern w:val="0"/>
                <w:szCs w:val="21"/>
                <w:lang w:bidi="ar"/>
              </w:rPr>
              <w:t>可得1分，最高3分：</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1）职业健康安全管理体系认证证书；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2）环境管理体系认证证书；</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3）质量管理体系认证证书。</w:t>
            </w:r>
          </w:p>
          <w:p>
            <w:pPr>
              <w:jc w:val="left"/>
              <w:rPr>
                <w:rFonts w:hint="eastAsia" w:ascii="宋体" w:hAnsi="宋体"/>
                <w:szCs w:val="21"/>
              </w:rPr>
            </w:pPr>
            <w:r>
              <w:rPr>
                <w:rFonts w:hint="eastAsia" w:ascii="宋体" w:hAnsi="宋体" w:cs="宋体"/>
                <w:color w:val="000000"/>
                <w:kern w:val="0"/>
                <w:szCs w:val="21"/>
                <w:lang w:bidi="ar"/>
              </w:rPr>
              <w:t>注：</w:t>
            </w:r>
            <w:r>
              <w:rPr>
                <w:rFonts w:hint="eastAsia" w:ascii="宋体" w:hAnsi="宋体" w:cs="宋体"/>
                <w:szCs w:val="21"/>
              </w:rPr>
              <w:t>如公司新成立未达到申请时间要求的得满分；</w:t>
            </w:r>
            <w:r>
              <w:rPr>
                <w:rFonts w:hint="eastAsia" w:ascii="宋体" w:hAnsi="宋体" w:cs="宋体"/>
                <w:color w:val="000000"/>
                <w:kern w:val="0"/>
                <w:szCs w:val="21"/>
                <w:lang w:bidi="ar"/>
              </w:rPr>
              <w:t>提供以上有效的证书复印件加盖公章，不提供不得分。</w:t>
            </w:r>
          </w:p>
        </w:tc>
        <w:tc>
          <w:tcPr>
            <w:tcW w:w="843" w:type="dxa"/>
            <w:vAlign w:val="center"/>
          </w:tcPr>
          <w:p>
            <w:pPr>
              <w:spacing w:line="276"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818" w:type="dxa"/>
            <w:gridSpan w:val="3"/>
            <w:vAlign w:val="center"/>
          </w:tcPr>
          <w:p>
            <w:pPr>
              <w:spacing w:line="276" w:lineRule="auto"/>
              <w:jc w:val="center"/>
              <w:rPr>
                <w:rFonts w:ascii="宋体" w:hAnsi="宋体"/>
                <w:szCs w:val="21"/>
              </w:rPr>
            </w:pPr>
            <w:r>
              <w:rPr>
                <w:rFonts w:hint="eastAsia" w:ascii="宋体" w:hAnsi="宋体" w:cs="宋体"/>
                <w:szCs w:val="21"/>
              </w:rPr>
              <w:t>合计</w:t>
            </w:r>
          </w:p>
        </w:tc>
        <w:tc>
          <w:tcPr>
            <w:tcW w:w="843" w:type="dxa"/>
            <w:vAlign w:val="center"/>
          </w:tcPr>
          <w:p>
            <w:pPr>
              <w:spacing w:line="276" w:lineRule="auto"/>
              <w:jc w:val="center"/>
              <w:rPr>
                <w:rFonts w:ascii="宋体" w:hAnsi="宋体" w:cs="宋体"/>
                <w:szCs w:val="21"/>
              </w:rPr>
            </w:pPr>
            <w:r>
              <w:rPr>
                <w:rFonts w:hint="eastAsia" w:ascii="宋体" w:hAnsi="宋体" w:cs="宋体"/>
                <w:szCs w:val="21"/>
              </w:rPr>
              <w:t>30</w:t>
            </w:r>
          </w:p>
        </w:tc>
      </w:tr>
    </w:tbl>
    <w:p>
      <w:pPr>
        <w:spacing w:line="360" w:lineRule="auto"/>
        <w:rPr>
          <w:rFonts w:hint="eastAsia" w:ascii="宋体" w:hAnsi="宋体" w:cs="宋体"/>
          <w:b/>
          <w:kern w:val="1"/>
          <w:sz w:val="24"/>
        </w:rPr>
      </w:pPr>
    </w:p>
    <w:p>
      <w:pPr>
        <w:tabs>
          <w:tab w:val="left" w:pos="0"/>
        </w:tabs>
        <w:spacing w:line="360" w:lineRule="auto"/>
        <w:rPr>
          <w:rFonts w:hint="eastAsia" w:ascii="宋体" w:hAnsi="宋体" w:cs="宋体"/>
        </w:rPr>
      </w:pPr>
    </w:p>
    <w:p>
      <w:pPr>
        <w:tabs>
          <w:tab w:val="left" w:pos="0"/>
        </w:tabs>
        <w:spacing w:line="360" w:lineRule="auto"/>
        <w:ind w:firstLine="420" w:firstLineChars="200"/>
        <w:rPr>
          <w:rFonts w:hint="eastAsia" w:ascii="宋体" w:hAnsi="宋体" w:cs="宋体"/>
        </w:rPr>
      </w:pPr>
      <w:r>
        <w:rPr>
          <w:rFonts w:hint="eastAsia" w:ascii="宋体" w:hAnsi="宋体" w:cs="宋体"/>
        </w:rPr>
        <w:t>4.3 技术评分：评审小组就各报名人对技术评审内容的各项要求进行评分，评审的具体内容见《技术评审表》。</w:t>
      </w:r>
    </w:p>
    <w:p>
      <w:pPr>
        <w:spacing w:line="360" w:lineRule="auto"/>
        <w:jc w:val="center"/>
        <w:rPr>
          <w:rFonts w:hint="eastAsia"/>
        </w:rPr>
      </w:pPr>
      <w:r>
        <w:rPr>
          <w:rFonts w:hint="eastAsia" w:ascii="宋体" w:hAnsi="宋体" w:cs="宋体"/>
          <w:b/>
          <w:kern w:val="1"/>
          <w:sz w:val="24"/>
        </w:rPr>
        <w:t>技术评审表</w:t>
      </w:r>
    </w:p>
    <w:tbl>
      <w:tblPr>
        <w:tblStyle w:val="2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78"/>
        <w:gridCol w:w="66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89" w:type="dxa"/>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1578" w:type="dxa"/>
            <w:vAlign w:val="center"/>
          </w:tcPr>
          <w:p>
            <w:pPr>
              <w:snapToGrid w:val="0"/>
              <w:jc w:val="center"/>
              <w:rPr>
                <w:rFonts w:hint="eastAsia" w:ascii="宋体" w:hAnsi="宋体" w:cs="宋体"/>
                <w:b/>
                <w:szCs w:val="21"/>
              </w:rPr>
            </w:pPr>
            <w:r>
              <w:rPr>
                <w:rFonts w:hint="eastAsia" w:ascii="宋体" w:hAnsi="宋体" w:cs="宋体"/>
                <w:b/>
                <w:szCs w:val="21"/>
              </w:rPr>
              <w:t>评审项目</w:t>
            </w:r>
          </w:p>
        </w:tc>
        <w:tc>
          <w:tcPr>
            <w:tcW w:w="6694" w:type="dxa"/>
            <w:vAlign w:val="center"/>
          </w:tcPr>
          <w:p>
            <w:pPr>
              <w:snapToGrid w:val="0"/>
              <w:jc w:val="center"/>
              <w:rPr>
                <w:rFonts w:hint="eastAsia" w:ascii="宋体" w:hAnsi="宋体" w:cs="宋体"/>
                <w:b/>
                <w:szCs w:val="21"/>
              </w:rPr>
            </w:pPr>
            <w:r>
              <w:rPr>
                <w:rFonts w:hint="eastAsia" w:ascii="宋体" w:hAnsi="宋体" w:cs="宋体"/>
                <w:b/>
                <w:szCs w:val="21"/>
              </w:rPr>
              <w:t>评审细则</w:t>
            </w:r>
          </w:p>
        </w:tc>
        <w:tc>
          <w:tcPr>
            <w:tcW w:w="668" w:type="dxa"/>
            <w:vAlign w:val="center"/>
          </w:tcPr>
          <w:p>
            <w:pPr>
              <w:snapToGrid w:val="0"/>
              <w:ind w:left="-63" w:leftChars="-30" w:right="-139" w:rightChars="-66"/>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1</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一般性条款（非“★”、“▲”号技术/服务条款）响应</w:t>
            </w:r>
          </w:p>
        </w:tc>
        <w:tc>
          <w:tcPr>
            <w:tcW w:w="6694" w:type="dxa"/>
            <w:vAlign w:val="top"/>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根据报名文件对需求要求条款中的一般性技术要求（非“★”、“▲”号服务条款）的响应情况进行评审（共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分，共</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分）：全部一般性技术要求响应情况为“正偏离”或“符合”或“无偏离”的，得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分；每有一项一般性技术要求响应情况为“负偏离”的，</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分，扣完为止。</w:t>
            </w:r>
          </w:p>
          <w:p>
            <w:pPr>
              <w:autoSpaceDE w:val="0"/>
              <w:autoSpaceDN w:val="0"/>
              <w:adjustRightIn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备注：1</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有多级序号的，以一级编号为最小评审单位计算；2</w:t>
            </w:r>
            <w:r>
              <w:rPr>
                <w:rFonts w:hint="eastAsia"/>
                <w:color w:val="000000" w:themeColor="text1"/>
                <w:kern w:val="0"/>
                <w:szCs w:val="21"/>
                <w14:textFill>
                  <w14:solidFill>
                    <w14:schemeClr w14:val="tx1"/>
                  </w14:solidFill>
                </w14:textFill>
              </w:rPr>
              <w:t>、如有要求证明文件，但响应情况和证明文件有出入的，以响应情况为准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2</w:t>
            </w:r>
          </w:p>
        </w:tc>
        <w:tc>
          <w:tcPr>
            <w:tcW w:w="1578" w:type="dxa"/>
            <w:vAlign w:val="center"/>
          </w:tcPr>
          <w:p>
            <w:pPr>
              <w:jc w:val="both"/>
              <w:rPr>
                <w:rFonts w:ascii="宋体" w:hAnsi="宋体" w:cs="宋体"/>
                <w:color w:val="000000"/>
                <w:kern w:val="0"/>
                <w:szCs w:val="21"/>
                <w:lang w:bidi="ar"/>
              </w:rPr>
            </w:pPr>
            <w:r>
              <w:rPr>
                <w:rFonts w:hint="eastAsia" w:ascii="宋体" w:hAnsi="宋体" w:cs="宋体"/>
                <w:color w:val="000000"/>
                <w:kern w:val="0"/>
                <w:szCs w:val="21"/>
                <w:lang w:eastAsia="zh-CN" w:bidi="ar"/>
              </w:rPr>
              <w:t>实质</w:t>
            </w:r>
            <w:r>
              <w:rPr>
                <w:rFonts w:hint="eastAsia" w:ascii="宋体" w:hAnsi="宋体" w:cs="宋体"/>
                <w:color w:val="000000"/>
                <w:kern w:val="0"/>
                <w:szCs w:val="21"/>
                <w:lang w:bidi="ar"/>
              </w:rPr>
              <w:t>性</w:t>
            </w:r>
            <w:r>
              <w:rPr>
                <w:rFonts w:hint="eastAsia" w:ascii="宋体" w:hAnsi="宋体" w:cs="宋体"/>
                <w:color w:val="000000"/>
                <w:kern w:val="0"/>
                <w:szCs w:val="21"/>
                <w:lang w:eastAsia="zh-CN" w:bidi="ar"/>
              </w:rPr>
              <w:t>技术要求</w:t>
            </w:r>
            <w:r>
              <w:rPr>
                <w:rFonts w:hint="eastAsia" w:ascii="宋体" w:hAnsi="宋体" w:cs="宋体"/>
                <w:color w:val="000000"/>
                <w:kern w:val="0"/>
                <w:szCs w:val="21"/>
                <w:lang w:bidi="ar"/>
              </w:rPr>
              <w:t>条款</w:t>
            </w:r>
            <w:r>
              <w:rPr>
                <w:rFonts w:hint="eastAsia" w:ascii="宋体" w:hAnsi="宋体" w:cs="宋体"/>
                <w:color w:val="000000"/>
                <w:kern w:val="0"/>
                <w:szCs w:val="21"/>
                <w:lang w:eastAsia="zh-CN" w:bidi="ar"/>
              </w:rPr>
              <w:t>（带</w:t>
            </w:r>
            <w:r>
              <w:rPr>
                <w:rFonts w:hint="eastAsia" w:ascii="宋体" w:hAnsi="宋体" w:cs="宋体"/>
                <w:color w:val="000000"/>
                <w:kern w:val="0"/>
                <w:szCs w:val="21"/>
                <w:lang w:bidi="ar"/>
              </w:rPr>
              <w:t>“★”</w:t>
            </w:r>
            <w:r>
              <w:rPr>
                <w:rFonts w:hint="eastAsia"/>
                <w:color w:val="000000" w:themeColor="text1"/>
                <w:sz w:val="24"/>
                <w:highlight w:val="none"/>
                <w14:textFill>
                  <w14:solidFill>
                    <w14:schemeClr w14:val="tx1"/>
                  </w14:solidFill>
                </w14:textFill>
              </w:rPr>
              <w:t>的条款为</w:t>
            </w:r>
            <w:r>
              <w:rPr>
                <w:rFonts w:hint="eastAsia"/>
                <w:color w:val="000000" w:themeColor="text1"/>
                <w:sz w:val="24"/>
                <w:highlight w:val="none"/>
                <w:lang w:eastAsia="zh-CN"/>
                <w14:textFill>
                  <w14:solidFill>
                    <w14:schemeClr w14:val="tx1"/>
                  </w14:solidFill>
                </w14:textFill>
              </w:rPr>
              <w:t>实际</w:t>
            </w:r>
            <w:r>
              <w:rPr>
                <w:rFonts w:hint="eastAsia"/>
                <w:color w:val="000000" w:themeColor="text1"/>
                <w:sz w:val="24"/>
                <w:highlight w:val="none"/>
                <w14:textFill>
                  <w14:solidFill>
                    <w14:schemeClr w14:val="tx1"/>
                  </w14:solidFill>
                </w14:textFill>
              </w:rPr>
              <w:t>性</w:t>
            </w:r>
            <w:r>
              <w:rPr>
                <w:rFonts w:hint="eastAsia"/>
                <w:color w:val="000000" w:themeColor="text1"/>
                <w:sz w:val="24"/>
                <w:highlight w:val="none"/>
                <w:lang w:eastAsia="zh-CN"/>
                <w14:textFill>
                  <w14:solidFill>
                    <w14:schemeClr w14:val="tx1"/>
                  </w14:solidFill>
                </w14:textFill>
              </w:rPr>
              <w:t>条款）响应</w:t>
            </w:r>
          </w:p>
        </w:tc>
        <w:tc>
          <w:tcPr>
            <w:tcW w:w="6694" w:type="dxa"/>
            <w:vAlign w:val="top"/>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根据报名文件对需求要求条款中的</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w:t>
            </w:r>
            <w:r>
              <w:rPr>
                <w:rFonts w:hint="eastAsia" w:ascii="宋体" w:hAnsi="宋体" w:cs="宋体"/>
                <w:color w:val="000000" w:themeColor="text1"/>
                <w:kern w:val="0"/>
                <w:szCs w:val="21"/>
                <w:lang w:eastAsia="zh-CN" w:bidi="ar"/>
                <w14:textFill>
                  <w14:solidFill>
                    <w14:schemeClr w14:val="tx1"/>
                  </w14:solidFill>
                </w14:textFill>
              </w:rPr>
              <w:t>带</w:t>
            </w:r>
            <w:r>
              <w:rPr>
                <w:rFonts w:hint="eastAsia" w:ascii="宋体" w:hAnsi="宋体" w:cs="宋体"/>
                <w:color w:val="000000" w:themeColor="text1"/>
                <w:kern w:val="0"/>
                <w:szCs w:val="21"/>
                <w:lang w:bidi="ar"/>
                <w14:textFill>
                  <w14:solidFill>
                    <w14:schemeClr w14:val="tx1"/>
                  </w14:solidFill>
                </w14:textFill>
              </w:rPr>
              <w:t>“★”号服务条款）的响应情况进行评审（共</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项，每项</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分，共</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分）：全部</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性技术要求响应情况为“正偏离”或“符合”或“无偏离”的，得</w:t>
            </w:r>
            <w:r>
              <w:rPr>
                <w:rFonts w:hint="eastAsia" w:ascii="宋体" w:hAnsi="宋体" w:cs="宋体"/>
                <w:color w:val="000000" w:themeColor="text1"/>
                <w:kern w:val="0"/>
                <w:szCs w:val="21"/>
                <w:lang w:val="en-US" w:eastAsia="zh-CN"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分；每有一项</w:t>
            </w:r>
            <w:r>
              <w:rPr>
                <w:rFonts w:hint="eastAsia" w:ascii="宋体" w:hAnsi="宋体" w:cs="宋体"/>
                <w:color w:val="000000" w:themeColor="text1"/>
                <w:kern w:val="0"/>
                <w:szCs w:val="21"/>
                <w:lang w:eastAsia="zh-CN" w:bidi="ar"/>
                <w14:textFill>
                  <w14:solidFill>
                    <w14:schemeClr w14:val="tx1"/>
                  </w14:solidFill>
                </w14:textFill>
              </w:rPr>
              <w:t>实质</w:t>
            </w:r>
            <w:r>
              <w:rPr>
                <w:rFonts w:hint="eastAsia" w:ascii="宋体" w:hAnsi="宋体" w:cs="宋体"/>
                <w:color w:val="000000" w:themeColor="text1"/>
                <w:kern w:val="0"/>
                <w:szCs w:val="21"/>
                <w:lang w:bidi="ar"/>
                <w14:textFill>
                  <w14:solidFill>
                    <w14:schemeClr w14:val="tx1"/>
                  </w14:solidFill>
                </w14:textFill>
              </w:rPr>
              <w:t>性技术要求响应情况为“负偏离”的，</w:t>
            </w:r>
            <w:r>
              <w:rPr>
                <w:rFonts w:hint="eastAsia" w:ascii="宋体" w:hAnsi="宋体" w:cs="宋体"/>
                <w:color w:val="000000" w:themeColor="text1"/>
                <w:kern w:val="0"/>
                <w:szCs w:val="21"/>
                <w:lang w:eastAsia="zh-CN" w:bidi="ar"/>
                <w14:textFill>
                  <w14:solidFill>
                    <w14:schemeClr w14:val="tx1"/>
                  </w14:solidFill>
                </w14:textFill>
              </w:rPr>
              <w:t>将按无效报名处理</w:t>
            </w:r>
            <w:r>
              <w:rPr>
                <w:rFonts w:hint="eastAsia" w:ascii="宋体" w:hAnsi="宋体" w:cs="宋体"/>
                <w:color w:val="000000" w:themeColor="text1"/>
                <w:kern w:val="0"/>
                <w:szCs w:val="21"/>
                <w:lang w:bidi="ar"/>
                <w14:textFill>
                  <w14:solidFill>
                    <w14:schemeClr w14:val="tx1"/>
                  </w14:solidFill>
                </w14:textFill>
              </w:rPr>
              <w:t>。</w:t>
            </w:r>
          </w:p>
          <w:p>
            <w:pPr>
              <w:jc w:val="left"/>
              <w:rPr>
                <w:rFonts w:hint="eastAsia" w:ascii="宋体" w:hAnsi="宋体" w:cs="宋体"/>
                <w:color w:val="000000" w:themeColor="text1"/>
                <w:kern w:val="0"/>
                <w:szCs w:val="21"/>
                <w:lang w:bidi="ar"/>
                <w14:textFill>
                  <w14:solidFill>
                    <w14:schemeClr w14:val="tx1"/>
                  </w14:solidFill>
                </w14:textFill>
              </w:rPr>
            </w:pP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3"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3</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配送服务方案（一）</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根据报名人针对本项目需求拟提供的配送、服务方案的框架内容进行评审，方案框架应至少包括以下内容（报名文件中方案标题应以下列方案名称命名）。</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（一）货物的运输、装卸、</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（二）配送人员的安排</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（三）应急情况下的安排</w:t>
            </w:r>
          </w:p>
          <w:p>
            <w:pPr>
              <w:jc w:val="left"/>
              <w:rPr>
                <w:rFonts w:hint="eastAsia" w:ascii="宋体" w:hAnsi="宋体"/>
              </w:rPr>
            </w:pPr>
            <w:r>
              <w:rPr>
                <w:rFonts w:hint="eastAsia" w:ascii="宋体" w:hAnsi="宋体" w:cs="宋体"/>
                <w:color w:val="000000"/>
                <w:kern w:val="0"/>
                <w:szCs w:val="21"/>
                <w:lang w:bidi="ar"/>
              </w:rPr>
              <w:t>注：提供全部内容得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分，不提供或提供不全不得分。</w:t>
            </w:r>
          </w:p>
        </w:tc>
        <w:tc>
          <w:tcPr>
            <w:tcW w:w="668"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jc w:val="center"/>
              <w:rPr>
                <w:rFonts w:hint="eastAsia" w:ascii="宋体" w:hAnsi="宋体" w:cs="宋体"/>
                <w:szCs w:val="21"/>
              </w:rPr>
            </w:pPr>
            <w:r>
              <w:rPr>
                <w:rFonts w:hint="eastAsia" w:ascii="宋体" w:hAnsi="宋体" w:cs="宋体"/>
                <w:szCs w:val="21"/>
              </w:rPr>
              <w:t>4</w:t>
            </w:r>
          </w:p>
        </w:tc>
        <w:tc>
          <w:tcPr>
            <w:tcW w:w="1578" w:type="dxa"/>
            <w:vAlign w:val="center"/>
          </w:tcPr>
          <w:p>
            <w:pPr>
              <w:jc w:val="center"/>
              <w:rPr>
                <w:rFonts w:hint="eastAsia" w:ascii="宋体" w:hAnsi="宋体" w:cs="宋体"/>
                <w:szCs w:val="21"/>
              </w:rPr>
            </w:pPr>
            <w:r>
              <w:rPr>
                <w:rFonts w:hint="eastAsia" w:ascii="宋体" w:hAnsi="宋体" w:cs="宋体"/>
                <w:color w:val="000000"/>
                <w:kern w:val="0"/>
                <w:szCs w:val="21"/>
                <w:lang w:bidi="ar"/>
              </w:rPr>
              <w:t>配送服务方案（二）</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szCs w:val="21"/>
              </w:rPr>
              <w:tab/>
            </w:r>
            <w:r>
              <w:rPr>
                <w:rFonts w:hint="eastAsia" w:ascii="宋体" w:hAnsi="宋体" w:cs="宋体"/>
                <w:color w:val="000000"/>
                <w:kern w:val="0"/>
                <w:szCs w:val="21"/>
                <w:lang w:bidi="ar"/>
              </w:rPr>
              <w:t xml:space="preserve">根据报名人针对本项目需求拟提供的配送、服务方案的详细内容进行综合评价：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1.配送方案全面、科学，人员安排合理，能够充分结合项目特点且符合采购需求，得</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2.配送方案较全面、科学，人员安排较合理，较能结合项目特点且符合采购需求，得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3.配送方案全面、科学性一般，人员安排欠合理，结合项目特点一般，基本符合采购需求，得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pPr>
              <w:jc w:val="left"/>
              <w:rPr>
                <w:rFonts w:hint="eastAsia" w:ascii="宋体" w:hAnsi="宋体" w:cs="宋体"/>
                <w:szCs w:val="21"/>
              </w:rPr>
            </w:pPr>
            <w:r>
              <w:rPr>
                <w:rFonts w:hint="eastAsia" w:ascii="宋体" w:hAnsi="宋体" w:cs="宋体"/>
                <w:color w:val="000000"/>
                <w:kern w:val="0"/>
                <w:szCs w:val="21"/>
                <w:lang w:bidi="ar"/>
              </w:rPr>
              <w:t>4.配送方案不全面和科学，人员安排不合理，未结合项目特点，不能符合采购需求或不提供的，得0分。</w:t>
            </w:r>
          </w:p>
        </w:tc>
        <w:tc>
          <w:tcPr>
            <w:tcW w:w="668" w:type="dxa"/>
            <w:vAlign w:val="center"/>
          </w:tcPr>
          <w:p>
            <w:pPr>
              <w:jc w:val="center"/>
              <w:rPr>
                <w:rFonts w:hint="eastAsia" w:ascii="宋体" w:hAnsi="宋体" w:cs="宋体"/>
                <w:szCs w:val="21"/>
              </w:rPr>
            </w:pPr>
            <w:r>
              <w:rPr>
                <w:rFonts w:hint="eastAsia" w:ascii="宋体" w:hAnsi="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689"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78" w:type="dxa"/>
            <w:vAlign w:val="center"/>
          </w:tcPr>
          <w:p>
            <w:pPr>
              <w:spacing w:line="276"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售后服务方案</w:t>
            </w:r>
          </w:p>
        </w:tc>
        <w:tc>
          <w:tcPr>
            <w:tcW w:w="6694" w:type="dxa"/>
            <w:vAlign w:val="center"/>
          </w:tcPr>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报名人针对本项目需求拟提供的售后服务方案进行综合评价：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1.售后方案完全满足采购需求，方案全面、科学且能够结合项目特点的，得</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2.售后方案满足采购需求，方案具有一定的全面性和科学性，具有一定的合理性的，得</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 xml:space="preserve">分； </w:t>
            </w:r>
          </w:p>
          <w:p>
            <w:pPr>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3.售后方案满足采购需求，部分方案不清晰且可行性欠缺的，得</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4.部分不满足采购需求，部分方案不具有保障性且不可行的，或不提供的不得分。</w:t>
            </w:r>
          </w:p>
        </w:tc>
        <w:tc>
          <w:tcPr>
            <w:tcW w:w="668" w:type="dxa"/>
            <w:vAlign w:val="center"/>
          </w:tcPr>
          <w:p>
            <w:pPr>
              <w:spacing w:line="276" w:lineRule="auto"/>
              <w:jc w:val="center"/>
              <w:rPr>
                <w:rFonts w:hint="eastAsia" w:ascii="宋体" w:hAnsi="宋体" w:cs="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961" w:type="dxa"/>
            <w:gridSpan w:val="3"/>
            <w:vAlign w:val="center"/>
          </w:tcPr>
          <w:p>
            <w:pPr>
              <w:ind w:left="210" w:leftChars="100"/>
              <w:jc w:val="center"/>
              <w:rPr>
                <w:rFonts w:hint="eastAsia" w:ascii="宋体" w:hAnsi="宋体" w:cs="宋体"/>
                <w:szCs w:val="21"/>
              </w:rPr>
            </w:pPr>
            <w:r>
              <w:rPr>
                <w:rFonts w:hint="eastAsia" w:ascii="宋体" w:hAnsi="宋体" w:cs="宋体"/>
                <w:szCs w:val="21"/>
              </w:rPr>
              <w:t>合    计</w:t>
            </w:r>
          </w:p>
        </w:tc>
        <w:tc>
          <w:tcPr>
            <w:tcW w:w="668" w:type="dxa"/>
            <w:vAlign w:val="center"/>
          </w:tcPr>
          <w:p>
            <w:pPr>
              <w:jc w:val="center"/>
              <w:rPr>
                <w:rFonts w:ascii="宋体" w:hAnsi="宋体" w:cs="宋体"/>
                <w:szCs w:val="21"/>
              </w:rPr>
            </w:pPr>
            <w:r>
              <w:rPr>
                <w:rFonts w:hint="eastAsia" w:ascii="宋体" w:hAnsi="宋体" w:cs="宋体"/>
                <w:szCs w:val="21"/>
              </w:rPr>
              <w:t>40</w:t>
            </w:r>
          </w:p>
        </w:tc>
      </w:tr>
    </w:tbl>
    <w:p>
      <w:pPr>
        <w:tabs>
          <w:tab w:val="left" w:pos="0"/>
        </w:tabs>
        <w:spacing w:line="360" w:lineRule="auto"/>
        <w:ind w:firstLine="420" w:firstLineChars="200"/>
        <w:rPr>
          <w:rFonts w:hint="eastAsia" w:ascii="宋体" w:hAnsi="宋体" w:cs="宋体"/>
        </w:rPr>
      </w:pPr>
    </w:p>
    <w:p>
      <w:pPr>
        <w:pStyle w:val="13"/>
        <w:spacing w:line="360" w:lineRule="auto"/>
        <w:ind w:left="0" w:leftChars="0"/>
        <w:rPr>
          <w:rFonts w:hint="eastAsia"/>
          <w:sz w:val="24"/>
        </w:rPr>
      </w:pPr>
      <w:r>
        <w:rPr>
          <w:rFonts w:hint="eastAsia" w:ascii="宋体" w:hAnsi="宋体" w:cs="宋体"/>
        </w:rPr>
        <w:t xml:space="preserve">4.4 </w:t>
      </w:r>
      <w:r>
        <w:rPr>
          <w:rFonts w:hint="eastAsia"/>
          <w:sz w:val="24"/>
        </w:rPr>
        <w:t>满足采购文件要求且最终报价格最低的为评分基准价，价格得分＝（评分基准价/最终报价）＊30，保留两位小数）。</w:t>
      </w:r>
    </w:p>
    <w:p>
      <w:pPr>
        <w:spacing w:line="360" w:lineRule="auto"/>
        <w:ind w:firstLine="420" w:firstLineChars="200"/>
        <w:rPr>
          <w:rFonts w:hint="eastAsia" w:ascii="宋体" w:hAnsi="宋体" w:cs="宋体"/>
        </w:rPr>
      </w:pPr>
    </w:p>
    <w:p>
      <w:pPr>
        <w:spacing w:line="360" w:lineRule="auto"/>
        <w:ind w:firstLine="420" w:firstLineChars="200"/>
        <w:rPr>
          <w:rFonts w:hint="eastAsia" w:ascii="宋体" w:hAnsi="宋体" w:cs="宋体"/>
        </w:rPr>
      </w:pPr>
    </w:p>
    <w:p>
      <w:pPr>
        <w:spacing w:line="360" w:lineRule="auto"/>
        <w:ind w:firstLine="0" w:firstLineChars="0"/>
        <w:rPr>
          <w:rFonts w:hint="eastAsia" w:ascii="宋体" w:hAnsi="宋体" w:cs="宋体"/>
        </w:rPr>
      </w:pPr>
    </w:p>
    <w:p>
      <w:pPr>
        <w:spacing w:line="360" w:lineRule="auto"/>
        <w:ind w:firstLine="0" w:firstLineChars="0"/>
        <w:rPr>
          <w:rFonts w:hint="eastAsia" w:ascii="宋体" w:hAnsi="宋体" w:cs="宋体"/>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562" w:firstLineChars="200"/>
        <w:rPr>
          <w:b/>
          <w:bCs/>
          <w:color w:val="000000" w:themeColor="text1"/>
          <w:sz w:val="28"/>
          <w:szCs w:val="28"/>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80" w:firstLineChars="200"/>
        <w:rPr>
          <w:rFonts w:hint="eastAsia"/>
          <w:color w:val="000000" w:themeColor="text1"/>
          <w:sz w:val="24"/>
          <w:szCs w:val="24"/>
          <w:lang w:eastAsia="zh-CN"/>
          <w14:textFill>
            <w14:solidFill>
              <w14:schemeClr w14:val="tx1"/>
            </w14:solidFill>
          </w14:textFill>
        </w:rPr>
      </w:pPr>
    </w:p>
    <w:p>
      <w:pPr>
        <w:widowControl/>
        <w:spacing w:line="460" w:lineRule="exact"/>
        <w:jc w:val="both"/>
        <w:rPr>
          <w:rFonts w:hint="default" w:ascii="Times New Roman" w:hAnsi="Times New Roman"/>
          <w:b/>
          <w:bCs/>
          <w:color w:val="000000" w:themeColor="text1"/>
          <w:kern w:val="2"/>
          <w:sz w:val="21"/>
          <w:szCs w:val="24"/>
          <w:lang w:val="en-US" w:eastAsia="zh-CN" w:bidi="ar-SA"/>
          <w14:textFill>
            <w14:solidFill>
              <w14:schemeClr w14:val="tx1"/>
            </w14:solidFill>
          </w14:textFill>
        </w:rPr>
      </w:pP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firstLine="2001" w:firstLineChars="500"/>
        <w:jc w:val="both"/>
        <w:rPr>
          <w:b/>
          <w:bCs/>
          <w:color w:val="000000" w:themeColor="text1"/>
          <w:kern w:val="44"/>
          <w:szCs w:val="21"/>
          <w:highlight w:val="none"/>
          <w14:textFill>
            <w14:solidFill>
              <w14:schemeClr w14:val="tx1"/>
            </w14:solidFill>
          </w14:textFill>
        </w:rPr>
      </w:pPr>
      <w:bookmarkStart w:id="77" w:name="_Toc50691021"/>
      <w:bookmarkStart w:id="78" w:name="_Toc50737320"/>
      <w:bookmarkStart w:id="79" w:name="_Toc76354916"/>
      <w:bookmarkStart w:id="80" w:name="_Toc50736468"/>
      <w:bookmarkStart w:id="81" w:name="_Toc50737288"/>
      <w:bookmarkStart w:id="82" w:name="_Toc385939528"/>
      <w:bookmarkStart w:id="83" w:name="_Toc385940869"/>
      <w:bookmarkStart w:id="84" w:name="_Toc11393"/>
      <w:bookmarkStart w:id="85" w:name="_Toc5063"/>
      <w:bookmarkStart w:id="86" w:name="_Toc31012"/>
      <w:bookmarkStart w:id="87" w:name="_Toc11016"/>
      <w:bookmarkStart w:id="88" w:name="_Toc21207"/>
      <w:bookmarkStart w:id="89" w:name="_Toc25655"/>
      <w:bookmarkStart w:id="90" w:name="_Toc28158"/>
      <w:bookmarkStart w:id="91" w:name="_Toc22417"/>
      <w:bookmarkStart w:id="92" w:name="_Toc30845"/>
      <w:bookmarkStart w:id="93" w:name="OLE_LINK4"/>
      <w:r>
        <w:rPr>
          <w:rFonts w:eastAsia="微软雅黑"/>
          <w:b/>
          <w:bCs/>
          <w:color w:val="000000" w:themeColor="text1"/>
          <w:sz w:val="40"/>
          <w:szCs w:val="40"/>
          <w:highlight w:val="none"/>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highlight w:val="none"/>
          <w14:textFill>
            <w14:solidFill>
              <w14:schemeClr w14:val="tx1"/>
            </w14:solidFill>
          </w14:textFill>
        </w:rPr>
        <w:t xml:space="preserve">  用户需求</w:t>
      </w:r>
      <w:bookmarkEnd w:id="82"/>
      <w:bookmarkEnd w:id="83"/>
      <w:r>
        <w:rPr>
          <w:rFonts w:eastAsia="微软雅黑"/>
          <w:b/>
          <w:bCs/>
          <w:color w:val="000000" w:themeColor="text1"/>
          <w:sz w:val="40"/>
          <w:szCs w:val="40"/>
          <w:highlight w:val="none"/>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numPr>
          <w:ilvl w:val="0"/>
          <w:numId w:val="2"/>
        </w:numPr>
        <w:tabs>
          <w:tab w:val="left" w:pos="525"/>
        </w:tabs>
        <w:autoSpaceDE w:val="0"/>
        <w:autoSpaceDN w:val="0"/>
        <w:adjustRightInd w:val="0"/>
        <w:snapToGrid w:val="0"/>
        <w:spacing w:line="360" w:lineRule="auto"/>
        <w:ind w:left="0" w:firstLine="482" w:firstLineChars="200"/>
        <w:outlineLvl w:val="1"/>
        <w:rPr>
          <w:rFonts w:ascii="宋体" w:hAnsi="宋体" w:cs="宋体"/>
          <w:b/>
          <w:bCs/>
          <w:sz w:val="24"/>
        </w:rPr>
      </w:pPr>
      <w:bookmarkStart w:id="94" w:name="_Toc385940873"/>
      <w:bookmarkStart w:id="95" w:name="_Toc5434"/>
      <w:bookmarkStart w:id="96" w:name="_Toc385939531"/>
      <w:bookmarkStart w:id="97" w:name="_Toc24883"/>
      <w:bookmarkStart w:id="98" w:name="_Toc25514"/>
      <w:bookmarkStart w:id="99" w:name="_Toc10806"/>
      <w:bookmarkStart w:id="100" w:name="_Toc1996"/>
      <w:bookmarkStart w:id="101" w:name="_Toc24192"/>
      <w:bookmarkStart w:id="102" w:name="_Toc13525"/>
      <w:bookmarkStart w:id="103" w:name="_Toc2918"/>
      <w:bookmarkStart w:id="104" w:name="_Toc31880"/>
      <w:bookmarkStart w:id="105" w:name="_Toc385940898"/>
      <w:bookmarkStart w:id="106" w:name="_Toc22085"/>
      <w:bookmarkStart w:id="107" w:name="OLE_LINK5"/>
      <w:r>
        <w:rPr>
          <w:rFonts w:hint="eastAsia" w:ascii="宋体" w:hAnsi="宋体" w:cs="宋体"/>
          <w:b/>
          <w:bCs/>
          <w:sz w:val="24"/>
        </w:rPr>
        <w:t>总体要求</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sz w:val="24"/>
          <w:lang w:val="zh-CN"/>
        </w:rPr>
        <w:t>标有“★”</w:t>
      </w:r>
      <w:r>
        <w:rPr>
          <w:rFonts w:hint="eastAsia" w:ascii="宋体" w:hAnsi="宋体" w:cs="宋体"/>
          <w:bCs/>
          <w:sz w:val="24"/>
        </w:rPr>
        <w:t>的条款为必须完全满足的实质性要求，报名人如有一项带“★”的条款未响应或负偏离，将按无效报名处理。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标有“▲”的条款为重要性要求，报名人如有带“▲”的条款未响应或负偏离的将被严重扣分。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报名人必须承诺提供厂</w:t>
      </w:r>
      <w:r>
        <w:rPr>
          <w:rFonts w:hint="eastAsia" w:ascii="宋体" w:hAnsi="宋体" w:cs="宋体"/>
          <w:sz w:val="24"/>
        </w:rPr>
        <w:t>家</w:t>
      </w:r>
      <w:r>
        <w:rPr>
          <w:rFonts w:hint="eastAsia" w:ascii="宋体" w:hAnsi="宋体" w:cs="宋体"/>
          <w:bCs/>
          <w:sz w:val="24"/>
        </w:rPr>
        <w:t>原装、全新的、符合国家及用户提出的有关质量标准的设备。</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报名人在响应详细内容中必须列出具体数值。如果报名人只注明“正偏离”或“无偏离”，将被视为“负偏离”，从而可能导致严重影响采购结果。</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eastAsia" w:ascii="宋体" w:hAnsi="宋体" w:cs="宋体"/>
          <w:sz w:val="24"/>
        </w:rPr>
        <w:t>家</w:t>
      </w:r>
      <w:r>
        <w:rPr>
          <w:rFonts w:hint="eastAsia" w:ascii="宋体" w:hAnsi="宋体" w:cs="宋体"/>
          <w:bCs/>
          <w:sz w:val="24"/>
        </w:rPr>
        <w:t>出具相关证明，否则以产品说明资料为准。</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报名人必须承诺所报名产品中凡列入《中华人民共和国实施强制性产品认证的产品目录》的产品已经获得CCC认证证书。</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涉及到软件产品的，必须采购和使用正版软件，项目中涉及计算机办公产品的，必须预装正版操作系统软件。</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报名人没有在报名文件中注明偏离（文字说明或在技术、商务响应表注明）的参数、配置、条款视为被报名人完全接受。</w:t>
      </w:r>
    </w:p>
    <w:p>
      <w:pPr>
        <w:numPr>
          <w:ilvl w:val="0"/>
          <w:numId w:val="3"/>
        </w:numPr>
        <w:adjustRightInd w:val="0"/>
        <w:snapToGrid w:val="0"/>
        <w:spacing w:line="360" w:lineRule="auto"/>
        <w:ind w:left="0" w:firstLine="480" w:firstLineChars="200"/>
        <w:rPr>
          <w:rFonts w:ascii="宋体" w:hAnsi="宋体" w:cs="宋体"/>
          <w:bCs/>
          <w:sz w:val="24"/>
        </w:rPr>
      </w:pPr>
      <w:r>
        <w:rPr>
          <w:rFonts w:hint="eastAsia" w:ascii="宋体" w:hAnsi="宋体" w:cs="宋体"/>
          <w:bCs/>
          <w:sz w:val="24"/>
        </w:rPr>
        <w:t>报名人应保证，院方在中华人民共和国使用该货物或货物的任何一部分时，免受第三方提出的侵犯其专利权、商标权、著作权或其它知识产权的起诉。</w:t>
      </w:r>
    </w:p>
    <w:p>
      <w:pPr>
        <w:spacing w:line="360" w:lineRule="auto"/>
        <w:ind w:firstLine="480" w:firstLineChars="200"/>
        <w:rPr>
          <w:rFonts w:ascii="宋体" w:hAnsi="宋体"/>
          <w:sz w:val="24"/>
        </w:rPr>
      </w:pPr>
      <w:r>
        <w:rPr>
          <w:rFonts w:hint="eastAsia"/>
          <w:sz w:val="24"/>
        </w:rPr>
        <w:t>10.报名</w:t>
      </w:r>
      <w:r>
        <w:rPr>
          <w:rFonts w:hint="eastAsia" w:ascii="宋体" w:hAnsi="宋体"/>
          <w:sz w:val="24"/>
        </w:rPr>
        <w:t>人须具有有效的</w:t>
      </w:r>
      <w:r>
        <w:rPr>
          <w:rFonts w:hint="eastAsia" w:ascii="宋体" w:hAnsi="宋体" w:cs="宋体"/>
          <w:color w:val="000000"/>
          <w:sz w:val="24"/>
        </w:rPr>
        <w:t>《企业营业执照》</w:t>
      </w:r>
      <w:r>
        <w:rPr>
          <w:rFonts w:hint="eastAsia" w:ascii="宋体" w:hAnsi="宋体"/>
          <w:sz w:val="24"/>
        </w:rPr>
        <w:t>，</w:t>
      </w:r>
      <w:r>
        <w:rPr>
          <w:rFonts w:hint="eastAsia"/>
          <w:kern w:val="0"/>
          <w:sz w:val="24"/>
        </w:rPr>
        <w:t>如供应商为代理经销商，须提供供应商授权书。</w:t>
      </w:r>
    </w:p>
    <w:p>
      <w:pPr>
        <w:pStyle w:val="11"/>
        <w:adjustRightInd w:val="0"/>
        <w:spacing w:line="360" w:lineRule="auto"/>
        <w:ind w:firstLine="480" w:firstLineChars="200"/>
        <w:rPr>
          <w:sz w:val="24"/>
          <w:highlight w:val="yellow"/>
        </w:rPr>
      </w:pPr>
    </w:p>
    <w:p>
      <w:pPr>
        <w:pStyle w:val="11"/>
        <w:adjustRightInd w:val="0"/>
        <w:spacing w:line="360" w:lineRule="auto"/>
        <w:ind w:firstLine="480" w:firstLineChars="200"/>
        <w:rPr>
          <w:sz w:val="24"/>
          <w:highlight w:val="yellow"/>
        </w:rPr>
      </w:pPr>
    </w:p>
    <w:p>
      <w:pPr>
        <w:numPr>
          <w:ilvl w:val="0"/>
          <w:numId w:val="2"/>
        </w:numPr>
        <w:tabs>
          <w:tab w:val="left" w:pos="525"/>
        </w:tabs>
        <w:autoSpaceDE w:val="0"/>
        <w:autoSpaceDN w:val="0"/>
        <w:adjustRightInd w:val="0"/>
        <w:snapToGrid w:val="0"/>
        <w:spacing w:line="360" w:lineRule="auto"/>
        <w:ind w:left="0" w:firstLine="482" w:firstLineChars="200"/>
        <w:outlineLvl w:val="1"/>
        <w:rPr>
          <w:rFonts w:ascii="宋体" w:hAnsi="宋体" w:cs="宋体"/>
          <w:b/>
          <w:bCs/>
          <w:sz w:val="24"/>
        </w:rPr>
      </w:pPr>
      <w:r>
        <w:rPr>
          <w:rFonts w:hint="eastAsia" w:ascii="宋体" w:hAnsi="宋体" w:cs="宋体"/>
          <w:b/>
          <w:bCs/>
          <w:sz w:val="24"/>
        </w:rPr>
        <w:t>报名报价说明</w:t>
      </w:r>
    </w:p>
    <w:p>
      <w:pPr>
        <w:adjustRightInd w:val="0"/>
        <w:snapToGrid w:val="0"/>
        <w:spacing w:line="360" w:lineRule="auto"/>
        <w:ind w:left="479" w:leftChars="228"/>
        <w:rPr>
          <w:rFonts w:ascii="宋体" w:hAnsi="宋体" w:cs="宋体"/>
          <w:sz w:val="24"/>
        </w:rPr>
      </w:pPr>
      <w:r>
        <w:rPr>
          <w:rFonts w:hint="eastAsia" w:ascii="宋体" w:hAnsi="宋体" w:cs="宋体"/>
          <w:sz w:val="24"/>
        </w:rPr>
        <w:t>报名价格包括：货款、仓储、运输、搬运、倾倒到容器、</w:t>
      </w:r>
      <w:r>
        <w:rPr>
          <w:rFonts w:hint="eastAsia" w:ascii="宋体" w:hAnsi="宋体" w:cs="宋体"/>
          <w:color w:val="FF0000"/>
          <w:sz w:val="24"/>
        </w:rPr>
        <w:t>质保期服务、</w:t>
      </w:r>
      <w:r>
        <w:rPr>
          <w:rFonts w:hint="eastAsia" w:ascii="宋体" w:hAnsi="宋体" w:cs="宋体"/>
          <w:sz w:val="24"/>
        </w:rPr>
        <w:t>各项税费及合同实施过程中不可预见费用等。</w:t>
      </w:r>
    </w:p>
    <w:p>
      <w:pPr>
        <w:pStyle w:val="2"/>
        <w:ind w:firstLine="0" w:firstLineChars="0"/>
      </w:pPr>
    </w:p>
    <w:bookmarkEnd w:id="94"/>
    <w:p>
      <w:pPr>
        <w:numPr>
          <w:ilvl w:val="0"/>
          <w:numId w:val="4"/>
        </w:numPr>
        <w:tabs>
          <w:tab w:val="left" w:pos="525"/>
          <w:tab w:val="left" w:pos="846"/>
        </w:tabs>
        <w:autoSpaceDE w:val="0"/>
        <w:autoSpaceDN w:val="0"/>
        <w:adjustRightInd w:val="0"/>
        <w:snapToGrid w:val="0"/>
        <w:spacing w:line="360" w:lineRule="auto"/>
        <w:ind w:left="0" w:firstLine="482" w:firstLineChars="200"/>
        <w:outlineLvl w:val="1"/>
        <w:rPr>
          <w:rFonts w:ascii="宋体" w:hAnsi="宋体"/>
          <w:sz w:val="24"/>
        </w:rPr>
      </w:pPr>
      <w:r>
        <w:rPr>
          <w:rFonts w:hint="eastAsia" w:ascii="宋体" w:hAnsi="宋体" w:cs="宋体"/>
          <w:b/>
          <w:sz w:val="24"/>
          <w:lang w:val="zh-CN"/>
        </w:rPr>
        <w:t>技术要求</w:t>
      </w:r>
    </w:p>
    <w:p>
      <w:pPr>
        <w:pStyle w:val="2"/>
        <w:ind w:firstLine="480"/>
        <w:rPr>
          <w:bCs/>
        </w:rPr>
      </w:pPr>
      <w:r>
        <w:rPr>
          <w:rFonts w:hint="eastAsia" w:ascii="宋体" w:hAnsi="宋体" w:cs="宋体"/>
          <w:bCs/>
          <w:sz w:val="24"/>
        </w:rPr>
        <w:t>1.数量：</w:t>
      </w:r>
    </w:p>
    <w:tbl>
      <w:tblPr>
        <w:tblStyle w:val="21"/>
        <w:tblW w:w="6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103" w:type="dxa"/>
            <w:vAlign w:val="center"/>
          </w:tcPr>
          <w:p>
            <w:pPr>
              <w:jc w:val="center"/>
              <w:rPr>
                <w:rFonts w:ascii="宋体" w:hAnsi="宋体" w:cs="宋体"/>
                <w:sz w:val="24"/>
              </w:rPr>
            </w:pPr>
            <w:r>
              <w:rPr>
                <w:rFonts w:hint="eastAsia" w:ascii="宋体" w:hAnsi="宋体" w:cs="宋体"/>
                <w:sz w:val="24"/>
              </w:rPr>
              <w:t>产品名称</w:t>
            </w:r>
          </w:p>
        </w:tc>
        <w:tc>
          <w:tcPr>
            <w:tcW w:w="1559" w:type="dxa"/>
            <w:vAlign w:val="center"/>
          </w:tcPr>
          <w:p>
            <w:pPr>
              <w:jc w:val="center"/>
              <w:rPr>
                <w:rFonts w:ascii="宋体" w:hAnsi="宋体" w:cs="宋体"/>
                <w:sz w:val="24"/>
              </w:rPr>
            </w:pPr>
            <w:r>
              <w:rPr>
                <w:rFonts w:hint="eastAsia" w:ascii="宋体" w:hAnsi="宋体" w:cs="宋体"/>
                <w:sz w:val="24"/>
              </w:rPr>
              <w:t>浓度</w:t>
            </w:r>
          </w:p>
        </w:tc>
        <w:tc>
          <w:tcPr>
            <w:tcW w:w="1701" w:type="dxa"/>
          </w:tcPr>
          <w:p>
            <w:pPr>
              <w:jc w:val="center"/>
            </w:pPr>
            <w:r>
              <w:rPr>
                <w:rFonts w:hint="eastAsia" w:ascii="宋体" w:hAnsi="宋体" w:cs="宋体"/>
                <w:sz w:val="24"/>
              </w:rPr>
              <w:t>数量</w:t>
            </w:r>
            <w:r>
              <w:rPr>
                <w:rFonts w:hint="eastAsia"/>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103" w:type="dxa"/>
            <w:vAlign w:val="center"/>
          </w:tcPr>
          <w:p>
            <w:pPr>
              <w:jc w:val="center"/>
              <w:rPr>
                <w:rFonts w:ascii="宋体" w:hAnsi="宋体" w:cs="宋体"/>
                <w:sz w:val="24"/>
              </w:rPr>
            </w:pPr>
            <w:r>
              <w:rPr>
                <w:rFonts w:hint="eastAsia" w:ascii="宋体" w:hAnsi="宋体" w:cs="宋体"/>
                <w:sz w:val="24"/>
              </w:rPr>
              <w:t>污水处理用双氧水</w:t>
            </w:r>
          </w:p>
        </w:tc>
        <w:tc>
          <w:tcPr>
            <w:tcW w:w="1559" w:type="dxa"/>
            <w:vAlign w:val="center"/>
          </w:tcPr>
          <w:p>
            <w:pPr>
              <w:jc w:val="center"/>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以上</w:t>
            </w:r>
          </w:p>
        </w:tc>
        <w:tc>
          <w:tcPr>
            <w:tcW w:w="1701" w:type="dxa"/>
            <w:vAlign w:val="center"/>
          </w:tcPr>
          <w:p>
            <w:pPr>
              <w:jc w:val="center"/>
              <w:rPr>
                <w:rFonts w:ascii="宋体" w:hAnsi="宋体" w:cs="宋体"/>
                <w:sz w:val="24"/>
              </w:rPr>
            </w:pPr>
            <w:r>
              <w:rPr>
                <w:rFonts w:hint="eastAsia" w:ascii="宋体" w:hAnsi="宋体" w:cs="宋体"/>
                <w:sz w:val="24"/>
              </w:rPr>
              <w:t>7</w:t>
            </w:r>
            <w:r>
              <w:rPr>
                <w:rFonts w:ascii="宋体" w:hAnsi="宋体" w:cs="宋体"/>
                <w:sz w:val="24"/>
              </w:rPr>
              <w:t>0</w:t>
            </w:r>
          </w:p>
        </w:tc>
      </w:tr>
    </w:tbl>
    <w:p>
      <w:pPr>
        <w:spacing w:line="360" w:lineRule="auto"/>
        <w:ind w:firstLine="283" w:firstLineChars="118"/>
        <w:rPr>
          <w:rFonts w:ascii="宋体" w:hAnsi="宋体" w:cs="宋体"/>
          <w:sz w:val="24"/>
        </w:rPr>
      </w:pPr>
      <w:r>
        <w:rPr>
          <w:rFonts w:hint="eastAsia" w:ascii="宋体" w:hAnsi="宋体" w:cs="宋体"/>
          <w:bCs/>
          <w:sz w:val="24"/>
        </w:rPr>
        <w:t>★</w:t>
      </w:r>
      <w:r>
        <w:rPr>
          <w:rFonts w:ascii="宋体" w:hAnsi="宋体" w:cs="宋体"/>
          <w:sz w:val="24"/>
        </w:rPr>
        <w:t>2.</w:t>
      </w:r>
      <w:r>
        <w:rPr>
          <w:rFonts w:hint="eastAsia" w:ascii="宋体" w:hAnsi="宋体" w:cs="宋体"/>
          <w:sz w:val="24"/>
        </w:rPr>
        <w:t>质量要求：</w:t>
      </w:r>
    </w:p>
    <w:p>
      <w:pPr>
        <w:spacing w:line="360" w:lineRule="auto"/>
        <w:ind w:firstLine="283" w:firstLineChars="118"/>
        <w:rPr>
          <w:rFonts w:ascii="宋体" w:hAnsi="宋体" w:cs="宋体"/>
          <w:sz w:val="24"/>
        </w:rPr>
      </w:pPr>
      <w:r>
        <w:rPr>
          <w:rFonts w:hint="eastAsia" w:ascii="宋体" w:hAnsi="宋体" w:cs="宋体"/>
          <w:sz w:val="24"/>
        </w:rPr>
        <w:t>（1）须提供食品级双氧水，且符合G</w:t>
      </w:r>
      <w:r>
        <w:rPr>
          <w:rFonts w:ascii="宋体" w:hAnsi="宋体" w:cs="宋体"/>
          <w:sz w:val="24"/>
        </w:rPr>
        <w:t>B/T 26371-2020</w:t>
      </w:r>
      <w:r>
        <w:rPr>
          <w:rFonts w:hint="eastAsia" w:ascii="宋体" w:hAnsi="宋体" w:cs="宋体"/>
          <w:sz w:val="24"/>
        </w:rPr>
        <w:t>《过氧化氢消毒剂卫生要求》以及《食品安全国家标准消毒剂》的有关规定；</w:t>
      </w:r>
    </w:p>
    <w:p>
      <w:pPr>
        <w:spacing w:line="360" w:lineRule="auto"/>
        <w:ind w:firstLine="283" w:firstLineChars="118"/>
        <w:rPr>
          <w:rFonts w:ascii="宋体" w:hAnsi="宋体" w:cs="宋体"/>
          <w:sz w:val="24"/>
        </w:rPr>
      </w:pPr>
      <w:r>
        <w:rPr>
          <w:rFonts w:hint="eastAsia" w:ascii="宋体" w:hAnsi="宋体" w:cs="宋体"/>
          <w:sz w:val="24"/>
        </w:rPr>
        <w:t>（2）每次送货要提供由C</w:t>
      </w:r>
      <w:r>
        <w:rPr>
          <w:rFonts w:ascii="宋体" w:hAnsi="宋体" w:cs="宋体"/>
          <w:sz w:val="24"/>
        </w:rPr>
        <w:t>MA</w:t>
      </w:r>
      <w:r>
        <w:rPr>
          <w:rFonts w:hint="eastAsia" w:ascii="宋体" w:hAnsi="宋体" w:cs="宋体"/>
          <w:sz w:val="24"/>
        </w:rPr>
        <w:t>机构出具的双氧水检测报告，过氧化氢≥3</w:t>
      </w:r>
      <w:r>
        <w:rPr>
          <w:rFonts w:ascii="宋体" w:hAnsi="宋体" w:cs="宋体"/>
          <w:sz w:val="24"/>
        </w:rPr>
        <w:t>5%</w:t>
      </w:r>
      <w:r>
        <w:rPr>
          <w:rFonts w:hint="eastAsia" w:ascii="宋体" w:hAnsi="宋体" w:cs="宋体"/>
          <w:sz w:val="24"/>
        </w:rPr>
        <w:t>，砷（以A</w:t>
      </w:r>
      <w:r>
        <w:rPr>
          <w:rFonts w:ascii="宋体" w:hAnsi="宋体" w:cs="宋体"/>
          <w:sz w:val="24"/>
        </w:rPr>
        <w:t>s</w:t>
      </w:r>
      <w:r>
        <w:rPr>
          <w:rFonts w:hint="eastAsia" w:ascii="宋体" w:hAnsi="宋体" w:cs="宋体"/>
          <w:sz w:val="24"/>
        </w:rPr>
        <w:t>计）≤</w:t>
      </w:r>
      <w:r>
        <w:rPr>
          <w:rFonts w:ascii="宋体" w:hAnsi="宋体" w:cs="宋体"/>
          <w:sz w:val="24"/>
        </w:rPr>
        <w:t>2mg/kg</w:t>
      </w:r>
      <w:r>
        <w:rPr>
          <w:rFonts w:hint="eastAsia" w:ascii="宋体" w:hAnsi="宋体" w:cs="宋体"/>
          <w:sz w:val="24"/>
        </w:rPr>
        <w:t>，铅（以P</w:t>
      </w:r>
      <w:r>
        <w:rPr>
          <w:rFonts w:ascii="宋体" w:hAnsi="宋体" w:cs="宋体"/>
          <w:sz w:val="24"/>
        </w:rPr>
        <w:t>b</w:t>
      </w:r>
      <w:r>
        <w:rPr>
          <w:rFonts w:hint="eastAsia" w:ascii="宋体" w:hAnsi="宋体" w:cs="宋体"/>
          <w:sz w:val="24"/>
        </w:rPr>
        <w:t>计）≤5</w:t>
      </w:r>
      <w:r>
        <w:rPr>
          <w:rFonts w:ascii="宋体" w:hAnsi="宋体" w:cs="宋体"/>
          <w:sz w:val="24"/>
        </w:rPr>
        <w:t>mg/kg</w:t>
      </w:r>
      <w:r>
        <w:rPr>
          <w:rFonts w:hint="eastAsia" w:ascii="宋体" w:hAnsi="宋体" w:cs="宋体"/>
          <w:sz w:val="24"/>
        </w:rPr>
        <w:t>，汞（以H</w:t>
      </w:r>
      <w:r>
        <w:rPr>
          <w:rFonts w:ascii="宋体" w:hAnsi="宋体" w:cs="宋体"/>
          <w:sz w:val="24"/>
        </w:rPr>
        <w:t>g</w:t>
      </w:r>
      <w:r>
        <w:rPr>
          <w:rFonts w:hint="eastAsia" w:ascii="宋体" w:hAnsi="宋体" w:cs="宋体"/>
          <w:sz w:val="24"/>
        </w:rPr>
        <w:t>计）≤</w:t>
      </w:r>
      <w:r>
        <w:rPr>
          <w:rFonts w:ascii="宋体" w:hAnsi="宋体" w:cs="宋体"/>
          <w:sz w:val="24"/>
        </w:rPr>
        <w:t>1mg/kg</w:t>
      </w:r>
      <w:r>
        <w:rPr>
          <w:rFonts w:hint="eastAsia" w:ascii="宋体" w:hAnsi="宋体" w:cs="宋体"/>
          <w:sz w:val="24"/>
        </w:rPr>
        <w:t>。</w:t>
      </w:r>
    </w:p>
    <w:p>
      <w:pPr>
        <w:pStyle w:val="2"/>
        <w:ind w:firstLine="400"/>
      </w:pPr>
    </w:p>
    <w:p>
      <w:pPr>
        <w:adjustRightInd w:val="0"/>
        <w:snapToGrid w:val="0"/>
        <w:spacing w:line="360" w:lineRule="auto"/>
        <w:rPr>
          <w:rFonts w:ascii="宋体" w:hAnsi="宋体" w:cs="宋体"/>
          <w:b/>
          <w:sz w:val="24"/>
        </w:rPr>
      </w:pPr>
      <w:r>
        <w:rPr>
          <w:rFonts w:hint="eastAsia" w:ascii="宋体" w:hAnsi="宋体" w:cs="宋体"/>
          <w:b/>
          <w:sz w:val="24"/>
        </w:rPr>
        <w:t>四、商务要求</w:t>
      </w:r>
    </w:p>
    <w:p>
      <w:pPr>
        <w:tabs>
          <w:tab w:val="left" w:pos="525"/>
        </w:tabs>
        <w:autoSpaceDE w:val="0"/>
        <w:autoSpaceDN w:val="0"/>
        <w:adjustRightInd w:val="0"/>
        <w:snapToGrid w:val="0"/>
        <w:spacing w:line="360" w:lineRule="auto"/>
        <w:outlineLvl w:val="1"/>
        <w:rPr>
          <w:rFonts w:ascii="宋体" w:hAnsi="宋体" w:cs="宋体"/>
          <w:sz w:val="24"/>
        </w:rPr>
      </w:pPr>
      <w:r>
        <w:rPr>
          <w:rFonts w:hint="eastAsia" w:ascii="宋体" w:hAnsi="宋体" w:cs="宋体"/>
          <w:bCs/>
          <w:sz w:val="24"/>
        </w:rPr>
        <w:t>★</w:t>
      </w:r>
      <w:r>
        <w:rPr>
          <w:rFonts w:hint="eastAsia" w:ascii="宋体"/>
          <w:sz w:val="24"/>
        </w:rPr>
        <w:t>1</w:t>
      </w:r>
      <w:r>
        <w:rPr>
          <w:rFonts w:ascii="宋体"/>
          <w:sz w:val="24"/>
        </w:rPr>
        <w:t>.</w:t>
      </w:r>
      <w:r>
        <w:rPr>
          <w:rFonts w:hint="eastAsia" w:ascii="宋体"/>
          <w:sz w:val="24"/>
        </w:rPr>
        <w:t>双氧水的生产厂家须提供企业营业执照、生产企业卫生许可证和卫生安全评价报告复印件。</w:t>
      </w:r>
    </w:p>
    <w:p>
      <w:pPr>
        <w:adjustRightInd w:val="0"/>
        <w:snapToGrid w:val="0"/>
        <w:spacing w:line="360" w:lineRule="auto"/>
        <w:rPr>
          <w:rFonts w:ascii="宋体"/>
          <w:sz w:val="24"/>
        </w:rPr>
      </w:pPr>
      <w:r>
        <w:rPr>
          <w:rFonts w:hint="eastAsia" w:ascii="宋体"/>
          <w:sz w:val="24"/>
        </w:rPr>
        <w:t>▲2</w:t>
      </w:r>
      <w:r>
        <w:rPr>
          <w:rFonts w:ascii="宋体"/>
          <w:sz w:val="24"/>
        </w:rPr>
        <w:t>.</w:t>
      </w:r>
      <w:r>
        <w:rPr>
          <w:rFonts w:hint="eastAsia" w:ascii="宋体"/>
          <w:sz w:val="24"/>
        </w:rPr>
        <w:t>授权委托书:生产公司委托经销公司、经销公司委托业务员(附业务员身份证复印件)。</w:t>
      </w:r>
    </w:p>
    <w:p>
      <w:pPr>
        <w:adjustRightInd w:val="0"/>
        <w:snapToGrid w:val="0"/>
        <w:spacing w:line="360" w:lineRule="auto"/>
        <w:rPr>
          <w:rFonts w:ascii="宋体"/>
          <w:sz w:val="24"/>
        </w:rPr>
      </w:pPr>
      <w:r>
        <w:rPr>
          <w:rFonts w:hint="eastAsia" w:ascii="宋体"/>
          <w:sz w:val="24"/>
        </w:rPr>
        <w:t>▲3</w:t>
      </w:r>
      <w:r>
        <w:rPr>
          <w:rFonts w:ascii="宋体"/>
          <w:sz w:val="24"/>
        </w:rPr>
        <w:t>.</w:t>
      </w:r>
      <w:r>
        <w:rPr>
          <w:rFonts w:hint="eastAsia" w:ascii="宋体"/>
          <w:sz w:val="24"/>
        </w:rPr>
        <w:t>供应商提供危险化学品经营许可证、营业执照、运输资质文件等证件。</w:t>
      </w:r>
    </w:p>
    <w:p>
      <w:pPr>
        <w:pStyle w:val="2"/>
        <w:spacing w:line="360" w:lineRule="auto"/>
        <w:ind w:firstLine="0" w:firstLineChars="0"/>
        <w:rPr>
          <w:rFonts w:ascii="宋体" w:hAns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严禁提供假冒伪劣货物，严禁用工业级双氧水冒充食品级双氧水，双氧水浓度达3</w:t>
      </w:r>
      <w:r>
        <w:rPr>
          <w:rFonts w:ascii="宋体" w:hAnsi="宋体" w:cs="宋体"/>
          <w:bCs/>
          <w:sz w:val="24"/>
        </w:rPr>
        <w:t>5%</w:t>
      </w:r>
      <w:r>
        <w:rPr>
          <w:rFonts w:hint="eastAsia" w:ascii="宋体" w:hAnsi="宋体" w:cs="宋体"/>
          <w:bCs/>
          <w:sz w:val="24"/>
        </w:rPr>
        <w:t>以上。</w:t>
      </w:r>
    </w:p>
    <w:p>
      <w:pPr>
        <w:pStyle w:val="2"/>
        <w:widowControl/>
        <w:spacing w:line="360" w:lineRule="auto"/>
        <w:ind w:firstLine="0" w:firstLineChars="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每次供货使用吨桶，3</w:t>
      </w:r>
      <w:r>
        <w:rPr>
          <w:rFonts w:ascii="宋体" w:hAnsi="宋体" w:cs="宋体"/>
          <w:sz w:val="24"/>
        </w:rPr>
        <w:t>-4</w:t>
      </w:r>
      <w:r>
        <w:rPr>
          <w:rFonts w:hint="eastAsia" w:ascii="宋体" w:hAnsi="宋体" w:cs="宋体"/>
          <w:sz w:val="24"/>
        </w:rPr>
        <w:t>吨/次</w:t>
      </w:r>
      <w:r>
        <w:rPr>
          <w:rFonts w:hint="eastAsia" w:ascii="宋体" w:hAnsi="宋体" w:cs="宋体"/>
          <w:bCs/>
          <w:sz w:val="24"/>
        </w:rPr>
        <w:t>，桶身</w:t>
      </w:r>
      <w:r>
        <w:rPr>
          <w:rFonts w:hint="eastAsia" w:ascii="宋体" w:hAnsi="宋体" w:cs="宋体"/>
          <w:sz w:val="24"/>
        </w:rPr>
        <w:t>侧面</w:t>
      </w:r>
      <w:r>
        <w:rPr>
          <w:rFonts w:hint="eastAsia" w:ascii="宋体" w:hAnsi="宋体" w:cs="宋体"/>
          <w:bCs/>
          <w:sz w:val="24"/>
        </w:rPr>
        <w:t>粘贴</w:t>
      </w:r>
      <w:r>
        <w:rPr>
          <w:rFonts w:hint="eastAsia" w:ascii="宋体" w:hAnsi="宋体" w:cs="宋体"/>
          <w:sz w:val="24"/>
        </w:rPr>
        <w:t>产品批号。运输要求避光、防震，温度≤3</w:t>
      </w:r>
      <w:r>
        <w:rPr>
          <w:rFonts w:ascii="宋体" w:hAnsi="宋体" w:cs="宋体"/>
          <w:sz w:val="24"/>
        </w:rPr>
        <w:t>0</w:t>
      </w:r>
      <w:r>
        <w:rPr>
          <w:rFonts w:hint="eastAsia" w:ascii="宋体" w:hAnsi="宋体" w:cs="宋体"/>
          <w:sz w:val="24"/>
        </w:rPr>
        <w:t>ºC。</w:t>
      </w:r>
    </w:p>
    <w:p>
      <w:pPr>
        <w:pStyle w:val="2"/>
        <w:widowControl/>
        <w:spacing w:line="360" w:lineRule="auto"/>
        <w:ind w:left="1" w:hanging="1" w:firstLineChars="0"/>
        <w:rPr>
          <w:rFonts w:ascii="宋体" w:hAnsi="宋体" w:cs="宋体"/>
          <w:sz w:val="24"/>
        </w:rPr>
      </w:pPr>
      <w:r>
        <w:rPr>
          <w:rFonts w:hint="eastAsia" w:ascii="宋体" w:hAnsi="宋体" w:cs="宋体"/>
          <w:bCs/>
          <w:sz w:val="24"/>
        </w:rPr>
        <w:t>★</w:t>
      </w:r>
      <w:r>
        <w:rPr>
          <w:rFonts w:hint="eastAsia" w:ascii="宋体" w:hAnsi="宋体" w:cs="宋体"/>
          <w:sz w:val="24"/>
        </w:rPr>
        <w:t>6</w:t>
      </w:r>
      <w:r>
        <w:rPr>
          <w:rFonts w:ascii="宋体" w:hAnsi="宋体" w:cs="宋体"/>
          <w:sz w:val="24"/>
        </w:rPr>
        <w:t>.</w:t>
      </w:r>
      <w:r>
        <w:rPr>
          <w:rFonts w:hint="eastAsia" w:ascii="宋体" w:hAnsi="宋体" w:cs="宋体"/>
          <w:sz w:val="24"/>
        </w:rPr>
        <w:t>供应商需在接到通知后</w:t>
      </w:r>
      <w:r>
        <w:rPr>
          <w:rFonts w:hint="eastAsia" w:ascii="宋体" w:hAnsi="宋体" w:cs="宋体"/>
          <w:sz w:val="24"/>
          <w:u w:val="single"/>
        </w:rPr>
        <w:t xml:space="preserve"> </w:t>
      </w:r>
      <w:r>
        <w:rPr>
          <w:rFonts w:ascii="宋体" w:hAnsi="宋体" w:cs="宋体"/>
          <w:sz w:val="24"/>
          <w:u w:val="single"/>
        </w:rPr>
        <w:t>3</w:t>
      </w:r>
      <w:r>
        <w:rPr>
          <w:rFonts w:hint="eastAsia" w:ascii="宋体" w:hAnsi="宋体" w:cs="宋体"/>
          <w:sz w:val="24"/>
        </w:rPr>
        <w:t>日内将双氧水运输至医院污水处理站，并倾倒至院方指定的容器内。</w:t>
      </w:r>
    </w:p>
    <w:p>
      <w:pPr>
        <w:pStyle w:val="2"/>
        <w:widowControl/>
        <w:spacing w:line="360" w:lineRule="auto"/>
        <w:ind w:left="1" w:hanging="1" w:firstLineChars="0"/>
        <w:rPr>
          <w:rFonts w:ascii="宋体" w:hAnsi="宋体" w:cs="宋体"/>
          <w:sz w:val="24"/>
        </w:rPr>
      </w:pPr>
      <w:bookmarkStart w:id="108" w:name="_Hlk204871721"/>
      <w:r>
        <w:rPr>
          <w:rFonts w:hint="eastAsia" w:ascii="宋体" w:hAnsi="宋体" w:cs="宋体"/>
          <w:sz w:val="24"/>
        </w:rPr>
        <w:t>▲</w:t>
      </w:r>
      <w:bookmarkEnd w:id="108"/>
      <w:r>
        <w:rPr>
          <w:rFonts w:hint="eastAsia" w:ascii="宋体" w:hAnsi="宋体" w:cs="宋体"/>
          <w:sz w:val="24"/>
        </w:rPr>
        <w:t>7</w:t>
      </w:r>
      <w:r>
        <w:rPr>
          <w:rFonts w:ascii="宋体" w:hAnsi="宋体" w:cs="宋体"/>
          <w:sz w:val="24"/>
        </w:rPr>
        <w:t>.</w:t>
      </w:r>
      <w:r>
        <w:rPr>
          <w:rFonts w:hint="eastAsia" w:ascii="宋体" w:hAnsi="宋体" w:cs="宋体"/>
          <w:sz w:val="24"/>
        </w:rPr>
        <w:t>供应商须自备抽药泵、水管、双氧水浓度检测仪、个人防护用品（如长防腐手套、口罩、围裙、水靯等）等物品。</w:t>
      </w:r>
    </w:p>
    <w:p>
      <w:pPr>
        <w:pStyle w:val="2"/>
        <w:widowControl/>
        <w:spacing w:line="360" w:lineRule="auto"/>
        <w:ind w:firstLine="0" w:firstLineChars="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双氧水验收：每次供应商提供双氧水检验报告，双方共同在现场对收到的双氧水浓度进行检测，院方工作人员确定每桶双氧水浓度达3</w:t>
      </w:r>
      <w:r>
        <w:rPr>
          <w:rFonts w:ascii="宋体" w:hAnsi="宋体" w:cs="宋体"/>
          <w:sz w:val="24"/>
        </w:rPr>
        <w:t>5%</w:t>
      </w:r>
      <w:r>
        <w:rPr>
          <w:rFonts w:hint="eastAsia" w:ascii="宋体" w:hAnsi="宋体" w:cs="宋体"/>
          <w:sz w:val="24"/>
        </w:rPr>
        <w:t>以上后，核对发票数量、金额，双方在《双氧水采购送货登记表》签字。</w:t>
      </w:r>
    </w:p>
    <w:p>
      <w:pPr>
        <w:pStyle w:val="2"/>
        <w:widowControl/>
        <w:spacing w:line="360" w:lineRule="auto"/>
        <w:ind w:firstLine="0" w:firstLineChars="0"/>
        <w:rPr>
          <w:rFonts w:ascii="宋体"/>
          <w:sz w:val="24"/>
        </w:rPr>
      </w:pPr>
      <w:r>
        <w:rPr>
          <w:rFonts w:ascii="宋体"/>
          <w:sz w:val="24"/>
        </w:rPr>
        <w:t>9.</w:t>
      </w:r>
      <w:r>
        <w:rPr>
          <w:rFonts w:hint="eastAsia" w:ascii="宋体"/>
          <w:sz w:val="24"/>
        </w:rPr>
        <w:t>按院方需求送货，报名供应商须做好供货准备，以便随时供货。</w:t>
      </w:r>
    </w:p>
    <w:p>
      <w:pPr>
        <w:spacing w:line="360" w:lineRule="auto"/>
        <w:rPr>
          <w:sz w:val="24"/>
        </w:rPr>
      </w:pPr>
      <w:r>
        <w:rPr>
          <w:sz w:val="24"/>
        </w:rPr>
        <w:t>10</w:t>
      </w:r>
      <w:r>
        <w:rPr>
          <w:rFonts w:hint="eastAsia"/>
          <w:sz w:val="24"/>
        </w:rPr>
        <w:t>.院方有权视情况抽查双氧水的质量，当出现不合格产品时，报名供应商要无条件更换为合格产品。</w:t>
      </w:r>
    </w:p>
    <w:p>
      <w:pPr>
        <w:pStyle w:val="2"/>
        <w:spacing w:line="360" w:lineRule="auto"/>
        <w:ind w:firstLine="0" w:firstLineChars="0"/>
        <w:rPr>
          <w:sz w:val="24"/>
        </w:rPr>
      </w:pPr>
      <w:r>
        <w:rPr>
          <w:rFonts w:hint="eastAsia"/>
          <w:sz w:val="24"/>
        </w:rPr>
        <w:t>1</w:t>
      </w:r>
      <w:r>
        <w:rPr>
          <w:sz w:val="24"/>
        </w:rPr>
        <w:t>1.</w:t>
      </w:r>
      <w:r>
        <w:rPr>
          <w:rFonts w:hint="eastAsia"/>
          <w:sz w:val="24"/>
        </w:rPr>
        <w:t>报名供应商在服务期间，无偿向院方提供使用方面的指导。</w:t>
      </w:r>
    </w:p>
    <w:p>
      <w:pPr>
        <w:pStyle w:val="2"/>
        <w:spacing w:line="360" w:lineRule="auto"/>
        <w:ind w:firstLine="0" w:firstLineChars="0"/>
        <w:rPr>
          <w:sz w:val="24"/>
        </w:rPr>
      </w:pPr>
      <w:r>
        <w:rPr>
          <w:sz w:val="24"/>
        </w:rPr>
        <w:t>12.</w:t>
      </w:r>
      <w:r>
        <w:rPr>
          <w:rFonts w:hint="eastAsia"/>
        </w:rPr>
        <w:t xml:space="preserve"> 付款方式：</w:t>
      </w:r>
      <w:r>
        <w:rPr>
          <w:rFonts w:hint="eastAsia"/>
          <w:sz w:val="24"/>
        </w:rPr>
        <w:t>以实际送货使用量*单价；每季度结算一次。院方接到供应商开具的正式发票及验收票据后，1个月内以银行转账一次性支付货款。</w:t>
      </w:r>
    </w:p>
    <w:p>
      <w:pPr>
        <w:adjustRightInd w:val="0"/>
        <w:snapToGrid w:val="0"/>
        <w:spacing w:line="360" w:lineRule="auto"/>
        <w:rPr>
          <w:rFonts w:ascii="宋体" w:hAnsi="宋体" w:cs="宋体"/>
          <w:bCs/>
          <w:sz w:val="24"/>
        </w:rPr>
      </w:pPr>
      <w:r>
        <w:rPr>
          <w:rFonts w:ascii="宋体" w:hAnsi="宋体" w:cs="宋体"/>
          <w:bCs/>
          <w:sz w:val="24"/>
        </w:rPr>
        <w:t>13.</w:t>
      </w:r>
      <w:r>
        <w:rPr>
          <w:rFonts w:hint="eastAsia" w:ascii="宋体" w:hAnsi="宋体" w:cs="宋体"/>
          <w:bCs/>
          <w:sz w:val="24"/>
        </w:rPr>
        <w:t>质量保证及售后服务</w:t>
      </w:r>
    </w:p>
    <w:p>
      <w:pPr>
        <w:adjustRightInd w:val="0"/>
        <w:snapToGrid w:val="0"/>
        <w:spacing w:line="360" w:lineRule="auto"/>
        <w:ind w:firstLine="283" w:firstLineChars="118"/>
        <w:rPr>
          <w:rFonts w:ascii="宋体" w:hAnsi="宋体" w:cs="宋体"/>
          <w:sz w:val="24"/>
        </w:rPr>
      </w:pPr>
      <w:r>
        <w:rPr>
          <w:rFonts w:hint="eastAsia" w:ascii="宋体" w:hAnsi="宋体" w:cs="宋体"/>
          <w:sz w:val="24"/>
        </w:rPr>
        <w:t>（1）报名供应商需按时向院方提供双氧水，不能以任何理由延误或断供，否则由此引起的全部责任和连带责任由报名供应商负责。</w:t>
      </w:r>
    </w:p>
    <w:p>
      <w:pPr>
        <w:adjustRightInd w:val="0"/>
        <w:snapToGrid w:val="0"/>
        <w:spacing w:line="360" w:lineRule="auto"/>
        <w:ind w:firstLine="283" w:firstLineChars="118"/>
        <w:rPr>
          <w:rFonts w:ascii="宋体" w:hAnsi="宋体" w:cs="宋体"/>
          <w:sz w:val="24"/>
        </w:rPr>
      </w:pPr>
      <w:r>
        <w:rPr>
          <w:rFonts w:hint="eastAsia" w:ascii="宋体" w:hAnsi="宋体" w:cs="宋体"/>
          <w:sz w:val="24"/>
        </w:rPr>
        <w:t>（2）报名供应商保证双氧水是全新、未曾使用过的，对所供双氧水由于质量发生的任何问题，而导致引起院方直接损失，全部责任由报名供应商负责。</w:t>
      </w:r>
    </w:p>
    <w:p>
      <w:pPr>
        <w:pStyle w:val="2"/>
        <w:spacing w:line="360" w:lineRule="auto"/>
        <w:ind w:firstLine="283" w:firstLineChars="118"/>
        <w:rPr>
          <w:rFonts w:ascii="宋体" w:hAnsi="宋体" w:cs="宋体"/>
          <w:sz w:val="24"/>
        </w:rPr>
      </w:pPr>
      <w:r>
        <w:rPr>
          <w:rFonts w:hint="eastAsia" w:ascii="宋体" w:hAnsi="宋体" w:cs="宋体"/>
          <w:sz w:val="24"/>
        </w:rPr>
        <w:t>（3）因双氧水的质量问题而发生争议，由双方均认可的具备资质的第三方质检部门进行质量鉴定。双氧水符合质量标准的，鉴定费用由院方承担；双氧水不符合质量标准的，鉴定费用由供应商承担。</w:t>
      </w:r>
    </w:p>
    <w:p>
      <w:pPr>
        <w:pStyle w:val="2"/>
        <w:ind w:firstLine="400"/>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480" w:firstLineChars="200"/>
        <w:rPr>
          <w:rFonts w:hint="eastAsia" w:ascii="宋体" w:hAnsi="宋体" w:cs="宋体"/>
          <w:color w:val="auto"/>
          <w:sz w:val="24"/>
          <w:szCs w:val="24"/>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001" w:firstLineChars="500"/>
        <w:rPr>
          <w:rFonts w:eastAsia="微软雅黑"/>
          <w:b/>
          <w:bCs/>
          <w:color w:val="000000" w:themeColor="text1"/>
          <w:sz w:val="40"/>
          <w:szCs w:val="40"/>
          <w14:textFill>
            <w14:solidFill>
              <w14:schemeClr w14:val="tx1"/>
            </w14:solidFill>
          </w14:textFill>
        </w:rPr>
      </w:pPr>
    </w:p>
    <w:p>
      <w:pPr>
        <w:pageBreakBefore w:val="0"/>
        <w:kinsoku/>
        <w:wordWrap/>
        <w:overflowPunct/>
        <w:topLinePunct w:val="0"/>
        <w:bidi w:val="0"/>
        <w:adjustRightInd w:val="0"/>
        <w:snapToGrid w:val="0"/>
        <w:spacing w:line="360" w:lineRule="auto"/>
        <w:ind w:left="0" w:leftChars="0" w:right="0" w:rightChars="0" w:firstLine="2401" w:firstLineChars="600"/>
        <w:rPr>
          <w:rFonts w:eastAsia="微软雅黑"/>
          <w:b/>
          <w:bCs/>
          <w:color w:val="000000" w:themeColor="text1"/>
          <w:sz w:val="40"/>
          <w:szCs w:val="40"/>
          <w14:textFill>
            <w14:solidFill>
              <w14:schemeClr w14:val="tx1"/>
            </w14:solidFill>
          </w14:textFill>
        </w:rPr>
      </w:pPr>
      <w:bookmarkStart w:id="193" w:name="_GoBack"/>
      <w:bookmarkEnd w:id="193"/>
      <w:r>
        <w:rPr>
          <w:rFonts w:eastAsia="微软雅黑"/>
          <w:b/>
          <w:bCs/>
          <w:color w:val="000000" w:themeColor="text1"/>
          <w:sz w:val="40"/>
          <w:szCs w:val="40"/>
          <w14:textFill>
            <w14:solidFill>
              <w14:schemeClr w14:val="tx1"/>
            </w14:solidFill>
          </w14:textFill>
        </w:rPr>
        <w:t>第三章  报名文件格式</w:t>
      </w:r>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ind w:firstLine="602" w:firstLineChars="200"/>
        <w:jc w:val="left"/>
        <w:rPr>
          <w:b/>
          <w:bCs/>
          <w:color w:val="000000" w:themeColor="text1"/>
          <w:sz w:val="30"/>
          <w14:textFill>
            <w14:solidFill>
              <w14:schemeClr w14:val="tx1"/>
            </w14:solidFill>
          </w14:textFill>
        </w:rPr>
      </w:pPr>
      <w:bookmarkStart w:id="109" w:name="_Toc50691027"/>
      <w:bookmarkStart w:id="110" w:name="_Toc43264515"/>
      <w:bookmarkStart w:id="111" w:name="_Toc50703720"/>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7"/>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2"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9"/>
    <w:bookmarkEnd w:id="110"/>
    <w:bookmarkEnd w:id="111"/>
    <w:bookmarkEnd w:id="112"/>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3" w:name="_Toc11449"/>
      <w:bookmarkStart w:id="114" w:name="_Toc1764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3"/>
      <w:bookmarkEnd w:id="114"/>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5" w:name="_Toc7711"/>
      <w:bookmarkStart w:id="116"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5"/>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6"/>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7"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7"/>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8"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8"/>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9" w:name="_Toc17574"/>
      <w:bookmarkStart w:id="120"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9"/>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20"/>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21" w:name="_Toc15345"/>
      <w:bookmarkStart w:id="122"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21"/>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3" w:name="_Toc385940900"/>
      <w:bookmarkStart w:id="124" w:name="_Toc52165083"/>
      <w:bookmarkStart w:id="125" w:name="_Toc50737325"/>
      <w:bookmarkStart w:id="126" w:name="_Toc50737331"/>
      <w:bookmarkStart w:id="127" w:name="_Toc50736473"/>
      <w:bookmarkStart w:id="128" w:name="_Toc76354927"/>
      <w:bookmarkStart w:id="129" w:name="_Toc50737293"/>
      <w:bookmarkStart w:id="130" w:name="_Toc50691040"/>
      <w:bookmarkStart w:id="131" w:name="_Toc52165077"/>
      <w:bookmarkStart w:id="132" w:name="_Toc50736479"/>
      <w:bookmarkStart w:id="133" w:name="_Toc50737299"/>
      <w:bookmarkStart w:id="134" w:name="_Toc76354921"/>
      <w:bookmarkStart w:id="135" w:name="_Toc50691028"/>
      <w:r>
        <w:rPr>
          <w:rFonts w:ascii="Times New Roman" w:hAnsi="Times New Roman" w:eastAsia="宋体" w:cs="Times New Roman"/>
          <w:b/>
          <w:bCs/>
          <w:color w:val="000000" w:themeColor="text1"/>
          <w:sz w:val="30"/>
          <w:szCs w:val="30"/>
          <w14:textFill>
            <w14:solidFill>
              <w14:schemeClr w14:val="tx1"/>
            </w14:solidFill>
          </w14:textFill>
        </w:rPr>
        <w:t>报名函</w:t>
      </w:r>
      <w:bookmarkEnd w:id="123"/>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5"/>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2"/>
      <w:bookmarkStart w:id="136" w:name="_Toc15132"/>
      <w:bookmarkStart w:id="137"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6"/>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8"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8"/>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7"/>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9" w:name="_Toc614"/>
      <w:bookmarkStart w:id="140" w:name="_Toc43264516"/>
      <w:bookmarkStart w:id="141" w:name="_Toc50691029"/>
      <w:bookmarkStart w:id="142" w:name="_Toc50703722"/>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3"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9"/>
      <w:bookmarkStart w:id="144"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4"/>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5"/>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5"/>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3"/>
      <w:bookmarkStart w:id="145" w:name="_Toc16983"/>
      <w:bookmarkStart w:id="146"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5"/>
      <w:bookmarkStart w:id="147"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8" w:name="_Toc21640"/>
      <w:bookmarkStart w:id="149" w:name="_Toc3871"/>
      <w:bookmarkStart w:id="150" w:name="_Toc14168"/>
      <w:bookmarkStart w:id="151" w:name="_Toc10043"/>
      <w:bookmarkStart w:id="152" w:name="_Toc19903"/>
      <w:bookmarkStart w:id="153" w:name="_Toc15350"/>
      <w:bookmarkStart w:id="154" w:name="_Toc859"/>
      <w:bookmarkStart w:id="155" w:name="_Toc16328"/>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7"/>
      <w:bookmarkEnd w:id="148"/>
      <w:bookmarkEnd w:id="149"/>
      <w:bookmarkEnd w:id="150"/>
      <w:bookmarkEnd w:id="151"/>
      <w:bookmarkEnd w:id="152"/>
      <w:bookmarkEnd w:id="153"/>
      <w:bookmarkEnd w:id="154"/>
      <w:bookmarkEnd w:id="155"/>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40"/>
    <w:bookmarkEnd w:id="141"/>
    <w:bookmarkEnd w:id="142"/>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6"/>
      <w:bookmarkStart w:id="156"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6"/>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7" w:name="_Toc50736477"/>
      <w:bookmarkStart w:id="158" w:name="_Toc76354925"/>
      <w:bookmarkStart w:id="159" w:name="_Toc50737297"/>
      <w:bookmarkStart w:id="160" w:name="_Toc385940903"/>
      <w:bookmarkStart w:id="161" w:name="_Toc52165081"/>
      <w:bookmarkStart w:id="162" w:name="_Toc50737329"/>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7"/>
      <w:bookmarkEnd w:id="158"/>
      <w:bookmarkEnd w:id="159"/>
      <w:bookmarkEnd w:id="160"/>
      <w:bookmarkEnd w:id="161"/>
      <w:bookmarkEnd w:id="162"/>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3" w:name="_Toc3091"/>
      <w:bookmarkStart w:id="164"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3"/>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8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96"/>
        <w:gridCol w:w="1365"/>
        <w:gridCol w:w="1608"/>
        <w:gridCol w:w="898"/>
        <w:gridCol w:w="897"/>
        <w:gridCol w:w="883"/>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9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390"/>
              </w:tabs>
              <w:rPr>
                <w:rFonts w:hint="eastAsia" w:ascii="宋体" w:hAnsi="宋体" w:eastAsia="宋体" w:cs="宋体"/>
                <w:i w:val="0"/>
                <w:iCs w:val="0"/>
                <w:color w:val="000000" w:themeColor="text1"/>
                <w:sz w:val="24"/>
                <w:szCs w:val="24"/>
                <w:u w:val="none"/>
                <w:lang w:eastAsia="zh-CN"/>
                <w14:textFill>
                  <w14:solidFill>
                    <w14:schemeClr w14:val="tx1"/>
                  </w14:solidFill>
                </w14:textFill>
              </w:rPr>
            </w:pPr>
            <w:r>
              <w:rPr>
                <w:rFonts w:hint="eastAsia" w:ascii="宋体" w:hAnsi="宋体" w:cs="宋体"/>
                <w:i w:val="0"/>
                <w:iCs w:val="0"/>
                <w:color w:val="000000" w:themeColor="text1"/>
                <w:sz w:val="24"/>
                <w:szCs w:val="24"/>
                <w:u w:val="none"/>
                <w:lang w:eastAsia="zh-CN"/>
                <w14:textFill>
                  <w14:solidFill>
                    <w14:schemeClr w14:val="tx1"/>
                  </w14:solidFill>
                </w14:textFill>
              </w:rPr>
              <w:tab/>
            </w:r>
            <w:r>
              <w:rPr>
                <w:rFonts w:hint="eastAsia" w:ascii="宋体" w:hAnsi="宋体" w:cs="宋体"/>
                <w:i w:val="0"/>
                <w:iCs w:val="0"/>
                <w:color w:val="000000" w:themeColor="text1"/>
                <w:sz w:val="24"/>
                <w:szCs w:val="24"/>
                <w:u w:val="none"/>
                <w:lang w:eastAsia="zh-CN"/>
                <w14:textFill>
                  <w14:solidFill>
                    <w14:schemeClr w14:val="tx1"/>
                  </w14:solidFill>
                </w14:textFill>
              </w:rPr>
              <w:t>合计总金额（人民币）：</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8"/>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4"/>
    <w:bookmarkEnd w:id="125"/>
    <w:bookmarkEnd w:id="126"/>
    <w:bookmarkEnd w:id="127"/>
    <w:bookmarkEnd w:id="128"/>
    <w:bookmarkEnd w:id="129"/>
    <w:bookmarkEnd w:id="130"/>
    <w:bookmarkEnd w:id="131"/>
    <w:bookmarkEnd w:id="132"/>
    <w:bookmarkEnd w:id="133"/>
    <w:bookmarkEnd w:id="134"/>
    <w:bookmarkEnd w:id="135"/>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5" w:name="_Toc385940912"/>
      <w:bookmarkStart w:id="166" w:name="_Toc30381"/>
      <w:bookmarkStart w:id="167" w:name="_Toc76354922"/>
      <w:bookmarkStart w:id="168" w:name="_Toc50737326"/>
      <w:bookmarkStart w:id="169" w:name="_Toc50691030"/>
      <w:bookmarkStart w:id="170" w:name="_Toc50737294"/>
      <w:bookmarkStart w:id="171" w:name="_Toc52165078"/>
      <w:bookmarkStart w:id="172" w:name="_Toc50736474"/>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4"/>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5"/>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5"/>
    </w:p>
    <w:bookmarkEnd w:id="166"/>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3" w:name="_Toc1980"/>
      <w:bookmarkStart w:id="174"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3"/>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4"/>
      <w:bookmarkStart w:id="175" w:name="_Toc30875"/>
      <w:bookmarkStart w:id="176"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5"/>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6"/>
      <w:bookmarkStart w:id="177" w:name="_Toc11039"/>
      <w:bookmarkStart w:id="178"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7"/>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7"/>
      <w:bookmarkEnd w:id="168"/>
      <w:bookmarkEnd w:id="169"/>
      <w:bookmarkEnd w:id="170"/>
      <w:bookmarkEnd w:id="171"/>
      <w:bookmarkEnd w:id="172"/>
      <w:bookmarkEnd w:id="178"/>
      <w:bookmarkStart w:id="179" w:name="_Toc21492"/>
      <w:bookmarkStart w:id="180"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9"/>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80"/>
      <w:bookmarkStart w:id="181" w:name="_Toc9961"/>
      <w:bookmarkStart w:id="182"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81"/>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3" w:name="_Toc6412"/>
      <w:bookmarkStart w:id="184" w:name="_Toc18302"/>
      <w:bookmarkStart w:id="185" w:name="_Toc24751"/>
      <w:bookmarkStart w:id="186" w:name="_Toc19164"/>
      <w:bookmarkStart w:id="187"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3"/>
    <w:bookmarkEnd w:id="184"/>
    <w:bookmarkEnd w:id="185"/>
    <w:bookmarkEnd w:id="186"/>
    <w:bookmarkEnd w:id="187"/>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8" w:name="_Toc28336"/>
      <w:bookmarkStart w:id="189" w:name="_Toc15192"/>
      <w:bookmarkStart w:id="190" w:name="_Toc19917"/>
      <w:bookmarkStart w:id="191" w:name="_Toc11979"/>
      <w:bookmarkStart w:id="192"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8"/>
      <w:bookmarkEnd w:id="189"/>
      <w:bookmarkEnd w:id="190"/>
      <w:bookmarkEnd w:id="191"/>
      <w:bookmarkEnd w:id="192"/>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2"/>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E3C8C97C"/>
    <w:multiLevelType w:val="singleLevel"/>
    <w:tmpl w:val="E3C8C97C"/>
    <w:lvl w:ilvl="0" w:tentative="0">
      <w:start w:val="2"/>
      <w:numFmt w:val="decimal"/>
      <w:suff w:val="nothing"/>
      <w:lvlText w:val="%1、"/>
      <w:lvlJc w:val="left"/>
      <w:pPr>
        <w:ind w:left="0" w:firstLine="0"/>
      </w:pPr>
    </w:lvl>
  </w:abstractNum>
  <w:abstractNum w:abstractNumId="2">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5">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8BD01A1"/>
    <w:rsid w:val="099735DE"/>
    <w:rsid w:val="0DDF6BA0"/>
    <w:rsid w:val="0E5F11E0"/>
    <w:rsid w:val="0F2632C9"/>
    <w:rsid w:val="0F3139F2"/>
    <w:rsid w:val="11E47469"/>
    <w:rsid w:val="122F3DF9"/>
    <w:rsid w:val="145558C5"/>
    <w:rsid w:val="16610FF6"/>
    <w:rsid w:val="16C127FF"/>
    <w:rsid w:val="18B911E6"/>
    <w:rsid w:val="18D866F9"/>
    <w:rsid w:val="19D30F59"/>
    <w:rsid w:val="1A850877"/>
    <w:rsid w:val="1A8B64E4"/>
    <w:rsid w:val="1BE41EE5"/>
    <w:rsid w:val="1E8B28D9"/>
    <w:rsid w:val="1EA2005F"/>
    <w:rsid w:val="221B695B"/>
    <w:rsid w:val="22745AB0"/>
    <w:rsid w:val="22A8167F"/>
    <w:rsid w:val="25872C20"/>
    <w:rsid w:val="26E86567"/>
    <w:rsid w:val="28B8038C"/>
    <w:rsid w:val="29791121"/>
    <w:rsid w:val="29A37242"/>
    <w:rsid w:val="2BE236FD"/>
    <w:rsid w:val="2C3D16BF"/>
    <w:rsid w:val="2C553B42"/>
    <w:rsid w:val="2E5C45DA"/>
    <w:rsid w:val="2E9C0F87"/>
    <w:rsid w:val="2EC15DDF"/>
    <w:rsid w:val="2EC563F4"/>
    <w:rsid w:val="307C4FCA"/>
    <w:rsid w:val="32A45F3D"/>
    <w:rsid w:val="378E0036"/>
    <w:rsid w:val="397558C4"/>
    <w:rsid w:val="3981328F"/>
    <w:rsid w:val="3ABD7269"/>
    <w:rsid w:val="3AC774CA"/>
    <w:rsid w:val="3D7A7D06"/>
    <w:rsid w:val="3E4A5973"/>
    <w:rsid w:val="44D07D4A"/>
    <w:rsid w:val="46FB13F5"/>
    <w:rsid w:val="47190850"/>
    <w:rsid w:val="486F23C6"/>
    <w:rsid w:val="4B90386B"/>
    <w:rsid w:val="4C607432"/>
    <w:rsid w:val="4D6D6F8E"/>
    <w:rsid w:val="4F256C72"/>
    <w:rsid w:val="4FB04ACD"/>
    <w:rsid w:val="4FB83F73"/>
    <w:rsid w:val="50022ED7"/>
    <w:rsid w:val="50E623B2"/>
    <w:rsid w:val="514C34E6"/>
    <w:rsid w:val="53EE4268"/>
    <w:rsid w:val="5A034A42"/>
    <w:rsid w:val="5A260A88"/>
    <w:rsid w:val="5E3F1720"/>
    <w:rsid w:val="5FC61C60"/>
    <w:rsid w:val="610619ED"/>
    <w:rsid w:val="6142679E"/>
    <w:rsid w:val="619E49C2"/>
    <w:rsid w:val="61D16A5B"/>
    <w:rsid w:val="628B4619"/>
    <w:rsid w:val="673F7A07"/>
    <w:rsid w:val="683F57E5"/>
    <w:rsid w:val="6AD846D9"/>
    <w:rsid w:val="6B9E2823"/>
    <w:rsid w:val="6BC8201F"/>
    <w:rsid w:val="6BDD1EDD"/>
    <w:rsid w:val="6D9C541F"/>
    <w:rsid w:val="6DA71CEF"/>
    <w:rsid w:val="6DD40098"/>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4"/>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标题 1 字符"/>
    <w:link w:val="3"/>
    <w:qFormat/>
    <w:uiPriority w:val="0"/>
    <w:rPr>
      <w:rFonts w:ascii="Times New Roman" w:hAnsi="Times New Roman" w:eastAsia="黑体"/>
      <w:color w:val="000000"/>
      <w:kern w:val="44"/>
      <w:sz w:val="30"/>
      <w:szCs w:val="44"/>
    </w:rPr>
  </w:style>
  <w:style w:type="paragraph" w:customStyle="1" w:styleId="25">
    <w:name w:val="表格文字"/>
    <w:basedOn w:val="1"/>
    <w:qFormat/>
    <w:uiPriority w:val="0"/>
    <w:pPr>
      <w:spacing w:before="25" w:after="25"/>
      <w:jc w:val="left"/>
    </w:pPr>
    <w:rPr>
      <w:bCs/>
      <w:spacing w:val="10"/>
      <w:kern w:val="0"/>
      <w:sz w:val="24"/>
      <w:szCs w:val="20"/>
    </w:rPr>
  </w:style>
  <w:style w:type="character" w:customStyle="1" w:styleId="26">
    <w:name w:val="font41"/>
    <w:basedOn w:val="18"/>
    <w:qFormat/>
    <w:uiPriority w:val="0"/>
    <w:rPr>
      <w:rFonts w:ascii="Calibri" w:hAnsi="Calibri" w:cs="Calibri"/>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paragraph" w:customStyle="1" w:styleId="28">
    <w:name w:val="首行缩进"/>
    <w:basedOn w:val="1"/>
    <w:qFormat/>
    <w:uiPriority w:val="0"/>
    <w:pPr>
      <w:ind w:firstLine="480" w:firstLineChars="200"/>
    </w:pPr>
    <w:rPr>
      <w:lang w:val="zh-CN"/>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2">
    <w:name w:val="font11"/>
    <w:basedOn w:val="18"/>
    <w:qFormat/>
    <w:uiPriority w:val="0"/>
    <w:rPr>
      <w:rFonts w:hint="eastAsia" w:ascii="宋体" w:hAnsi="宋体" w:eastAsia="宋体" w:cs="宋体"/>
      <w:b/>
      <w:bCs/>
      <w:color w:val="000000"/>
      <w:sz w:val="32"/>
      <w:szCs w:val="32"/>
      <w:u w:val="none"/>
    </w:rPr>
  </w:style>
  <w:style w:type="character" w:customStyle="1" w:styleId="33">
    <w:name w:val="font01"/>
    <w:basedOn w:val="18"/>
    <w:qFormat/>
    <w:uiPriority w:val="0"/>
    <w:rPr>
      <w:rFonts w:hint="default" w:ascii="Arial" w:hAnsi="Arial" w:cs="Arial"/>
      <w:color w:val="000000"/>
      <w:sz w:val="20"/>
      <w:szCs w:val="20"/>
      <w:u w:val="none"/>
    </w:rPr>
  </w:style>
  <w:style w:type="character" w:customStyle="1" w:styleId="34">
    <w:name w:val="font21"/>
    <w:basedOn w:val="18"/>
    <w:qFormat/>
    <w:uiPriority w:val="0"/>
    <w:rPr>
      <w:rFonts w:hint="eastAsia" w:ascii="宋体" w:hAnsi="宋体" w:eastAsia="宋体" w:cs="宋体"/>
      <w:color w:val="000000"/>
      <w:sz w:val="20"/>
      <w:szCs w:val="20"/>
      <w:u w:val="none"/>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9759</Words>
  <Characters>9941</Characters>
  <Lines>0</Lines>
  <Paragraphs>0</Paragraphs>
  <ScaleCrop>false</ScaleCrop>
  <LinksUpToDate>false</LinksUpToDate>
  <CharactersWithSpaces>11330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2025-06-06T00:43:00Z</cp:lastPrinted>
  <dcterms:modified xsi:type="dcterms:W3CDTF">2025-08-12T01:10:58Z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