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w:t>
      </w:r>
      <w:r>
        <w:rPr>
          <w:rFonts w:hint="eastAsia" w:eastAsia="微软雅黑"/>
          <w:b/>
          <w:bCs/>
          <w:color w:val="000000" w:themeColor="text1"/>
          <w:sz w:val="44"/>
          <w:szCs w:val="44"/>
          <w:lang w:val="en-US" w:eastAsia="zh-CN"/>
          <w14:textFill>
            <w14:solidFill>
              <w14:schemeClr w14:val="tx1"/>
            </w14:solidFill>
          </w14:textFill>
        </w:rPr>
        <w:t>5.12国际护士节护士鞋</w:t>
      </w:r>
      <w:r>
        <w:rPr>
          <w:rFonts w:hint="eastAsia" w:eastAsia="微软雅黑"/>
          <w:b/>
          <w:bCs/>
          <w:color w:val="000000" w:themeColor="text1"/>
          <w:sz w:val="44"/>
          <w:szCs w:val="44"/>
          <w:lang w:eastAsia="zh-CN"/>
          <w14:textFill>
            <w14:solidFill>
              <w14:schemeClr w14:val="tx1"/>
            </w14:solidFill>
          </w14:textFill>
        </w:rPr>
        <w:t>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4"/>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5149"/>
      <w:bookmarkStart w:id="2" w:name="_Toc13070"/>
      <w:bookmarkStart w:id="3" w:name="_Toc26517"/>
      <w:bookmarkStart w:id="4" w:name="_Toc21602"/>
      <w:bookmarkStart w:id="5" w:name="_Toc2335"/>
      <w:bookmarkStart w:id="6" w:name="_Toc29248"/>
      <w:bookmarkStart w:id="7" w:name="_Toc27471"/>
      <w:bookmarkStart w:id="8" w:name="_Toc31916"/>
      <w:bookmarkStart w:id="9" w:name="_Toc24270"/>
      <w:bookmarkStart w:id="10" w:name="OLE_LINK2"/>
      <w:r>
        <w:rPr>
          <w:rStyle w:val="24"/>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5"/>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8638"/>
      <w:bookmarkStart w:id="14" w:name="_Toc2264"/>
      <w:bookmarkStart w:id="15" w:name="_Toc97042584"/>
      <w:bookmarkStart w:id="16" w:name="_Toc30412"/>
      <w:bookmarkStart w:id="17" w:name="_Toc97048960"/>
      <w:bookmarkStart w:id="18" w:name="_Toc26829"/>
      <w:bookmarkStart w:id="19" w:name="_Toc24578"/>
      <w:bookmarkStart w:id="20" w:name="_Toc97049454"/>
      <w:bookmarkStart w:id="21" w:name="_Toc5199"/>
      <w:bookmarkStart w:id="22" w:name="_Toc97049020"/>
      <w:bookmarkStart w:id="23" w:name="_Toc16481"/>
      <w:bookmarkStart w:id="24" w:name="_Toc23776"/>
      <w:bookmarkStart w:id="25" w:name="_Toc4906"/>
      <w:bookmarkStart w:id="26" w:name="_Toc2069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16745"/>
      <w:bookmarkStart w:id="30" w:name="_Toc97042585"/>
      <w:bookmarkStart w:id="31" w:name="_Toc23683"/>
      <w:bookmarkStart w:id="32" w:name="_Toc10807"/>
      <w:bookmarkStart w:id="33" w:name="_Toc25676"/>
      <w:bookmarkStart w:id="34" w:name="_Toc97048961"/>
      <w:bookmarkStart w:id="35" w:name="_Toc26692"/>
      <w:bookmarkStart w:id="36" w:name="_Toc97048639"/>
      <w:bookmarkStart w:id="37" w:name="_Toc97049021"/>
      <w:bookmarkStart w:id="38" w:name="_Toc97049455"/>
      <w:bookmarkStart w:id="39" w:name="_Toc24157"/>
      <w:bookmarkStart w:id="40" w:name="_Toc955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FF0000"/>
          <w:lang w:eastAsia="zh-CN"/>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5"/>
        <w:jc w:val="both"/>
        <w:rPr>
          <w:rFonts w:hint="eastAsia" w:ascii="宋体" w:hAnsi="宋体" w:eastAsia="宋体" w:cs="宋体"/>
          <w:sz w:val="30"/>
          <w:szCs w:val="30"/>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bookmarkEnd w:id="69"/>
      <w:bookmarkEnd w:id="70"/>
      <w:bookmarkEnd w:id="71"/>
      <w:bookmarkEnd w:id="72"/>
      <w:bookmarkEnd w:id="73"/>
      <w:bookmarkEnd w:id="74"/>
      <w:bookmarkEnd w:id="75"/>
      <w:bookmarkEnd w:id="76"/>
      <w:r>
        <w:rPr>
          <w:rFonts w:hint="eastAsia" w:ascii="宋体" w:hAnsi="宋体" w:eastAsia="宋体" w:cs="宋体"/>
          <w:sz w:val="30"/>
          <w:szCs w:val="30"/>
        </w:rPr>
        <w:t>磋商原则</w:t>
      </w:r>
    </w:p>
    <w:p>
      <w:pPr>
        <w:spacing w:line="360" w:lineRule="auto"/>
        <w:ind w:firstLine="480" w:firstLineChars="200"/>
        <w:rPr>
          <w:rFonts w:hint="eastAsia"/>
          <w:sz w:val="24"/>
        </w:rPr>
      </w:pPr>
      <w:r>
        <w:rPr>
          <w:rFonts w:hint="eastAsia"/>
          <w:sz w:val="24"/>
        </w:rPr>
        <w:t>1.评审小组随机确定供应商的磋商次序。</w:t>
      </w:r>
    </w:p>
    <w:p>
      <w:pPr>
        <w:spacing w:line="360" w:lineRule="auto"/>
        <w:ind w:firstLine="480" w:firstLineChars="200"/>
        <w:rPr>
          <w:rFonts w:hint="eastAsia"/>
          <w:sz w:val="24"/>
        </w:rPr>
      </w:pPr>
      <w:r>
        <w:rPr>
          <w:rFonts w:hint="eastAsia"/>
          <w:sz w:val="24"/>
        </w:rPr>
        <w:t>2.评审小组首先审查供应商的资格，然后按磋商次序与供应商分别进行磋商。</w:t>
      </w:r>
    </w:p>
    <w:p>
      <w:pPr>
        <w:spacing w:line="360" w:lineRule="auto"/>
        <w:ind w:firstLine="480" w:firstLineChars="200"/>
        <w:rPr>
          <w:rFonts w:hint="eastAsia"/>
          <w:sz w:val="24"/>
        </w:rPr>
      </w:pPr>
      <w:r>
        <w:rPr>
          <w:rFonts w:hint="eastAsia"/>
          <w:sz w:val="24"/>
        </w:rPr>
        <w:t>3.评审内容：对通过初步评审的报名文件进行商务、技术和价格的评审。</w:t>
      </w:r>
    </w:p>
    <w:p>
      <w:pPr>
        <w:spacing w:line="360" w:lineRule="auto"/>
        <w:ind w:firstLine="480" w:firstLineChars="200"/>
        <w:rPr>
          <w:rFonts w:hint="eastAsia"/>
          <w:sz w:val="24"/>
        </w:rPr>
      </w:pPr>
      <w:r>
        <w:rPr>
          <w:rFonts w:hint="eastAsia"/>
          <w:sz w:val="24"/>
        </w:rPr>
        <w:t>4.分值（权重）分配</w:t>
      </w:r>
    </w:p>
    <w:p>
      <w:pPr>
        <w:spacing w:line="360" w:lineRule="auto"/>
        <w:ind w:firstLine="480" w:firstLineChars="200"/>
        <w:rPr>
          <w:rFonts w:hint="eastAsia"/>
          <w:sz w:val="24"/>
        </w:rPr>
      </w:pPr>
      <w:r>
        <w:rPr>
          <w:rFonts w:hint="eastAsia"/>
          <w:sz w:val="24"/>
        </w:rPr>
        <w:t>4.1 评分总值最高为100分，商务、技术及最终报价得分分值（权重）、分值设置如下：</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60"/>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jc w:val="center"/>
              <w:rPr>
                <w:rFonts w:hint="eastAsia"/>
                <w:sz w:val="24"/>
              </w:rPr>
            </w:pPr>
            <w:r>
              <w:rPr>
                <w:rFonts w:hint="eastAsia"/>
                <w:sz w:val="24"/>
              </w:rPr>
              <w:t>评分项目</w:t>
            </w:r>
          </w:p>
        </w:tc>
        <w:tc>
          <w:tcPr>
            <w:tcW w:w="2160" w:type="dxa"/>
            <w:vAlign w:val="center"/>
          </w:tcPr>
          <w:p>
            <w:pPr>
              <w:spacing w:line="360" w:lineRule="auto"/>
              <w:ind w:left="1198" w:leftChars="342" w:hanging="480" w:hangingChars="200"/>
              <w:jc w:val="center"/>
              <w:rPr>
                <w:rFonts w:hint="eastAsia"/>
                <w:sz w:val="24"/>
              </w:rPr>
            </w:pPr>
            <w:r>
              <w:rPr>
                <w:rFonts w:hint="eastAsia"/>
                <w:sz w:val="24"/>
              </w:rPr>
              <w:t>技术评分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商务评分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ind w:left="1198" w:leftChars="342" w:hanging="480" w:hangingChars="200"/>
              <w:jc w:val="center"/>
              <w:rPr>
                <w:rFonts w:hint="eastAsia"/>
                <w:sz w:val="24"/>
              </w:rPr>
            </w:pPr>
            <w:r>
              <w:rPr>
                <w:rFonts w:hint="eastAsia"/>
                <w:sz w:val="24"/>
              </w:rPr>
              <w:t>分值</w:t>
            </w:r>
          </w:p>
        </w:tc>
        <w:tc>
          <w:tcPr>
            <w:tcW w:w="2160" w:type="dxa"/>
            <w:vAlign w:val="center"/>
          </w:tcPr>
          <w:p>
            <w:pPr>
              <w:spacing w:line="360" w:lineRule="auto"/>
              <w:ind w:left="1198" w:leftChars="342" w:hanging="480" w:hangingChars="200"/>
              <w:jc w:val="center"/>
              <w:rPr>
                <w:rFonts w:hint="eastAsia"/>
                <w:sz w:val="24"/>
              </w:rPr>
            </w:pPr>
            <w:r>
              <w:rPr>
                <w:rFonts w:hint="eastAsia"/>
                <w:sz w:val="24"/>
              </w:rPr>
              <w:t>40分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r>
    </w:tbl>
    <w:p>
      <w:pPr>
        <w:spacing w:line="360" w:lineRule="auto"/>
        <w:ind w:left="1198" w:leftChars="342" w:hanging="480" w:hangingChars="200"/>
        <w:rPr>
          <w:rFonts w:hint="eastAsia"/>
          <w:sz w:val="24"/>
        </w:rPr>
      </w:pPr>
    </w:p>
    <w:p>
      <w:pPr>
        <w:spacing w:line="360" w:lineRule="auto"/>
        <w:rPr>
          <w:rFonts w:hint="eastAsia"/>
          <w:sz w:val="24"/>
        </w:rPr>
      </w:pPr>
      <w:r>
        <w:rPr>
          <w:rFonts w:hint="eastAsia"/>
          <w:sz w:val="24"/>
        </w:rPr>
        <w:t>4.2 商务评分：评审小组就各报名文件对商务评审内容的各项要求进行评分，评审的具体内容见《商务评审表》：</w:t>
      </w:r>
    </w:p>
    <w:p>
      <w:pPr>
        <w:spacing w:line="360" w:lineRule="auto"/>
        <w:jc w:val="center"/>
        <w:rPr>
          <w:rFonts w:hint="eastAsia" w:ascii="宋体" w:hAnsi="宋体" w:cs="宋体"/>
          <w:b/>
          <w:kern w:val="1"/>
          <w:sz w:val="24"/>
        </w:rPr>
      </w:pPr>
      <w:r>
        <w:rPr>
          <w:rFonts w:hint="eastAsia" w:ascii="宋体" w:hAnsi="宋体" w:cs="宋体"/>
          <w:b/>
          <w:kern w:val="1"/>
          <w:sz w:val="24"/>
        </w:rPr>
        <w:t>商务评审表</w:t>
      </w:r>
    </w:p>
    <w:tbl>
      <w:tblPr>
        <w:tblStyle w:val="20"/>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8"/>
        <w:gridCol w:w="641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98" w:type="dxa"/>
            <w:vAlign w:val="center"/>
          </w:tcPr>
          <w:p>
            <w:pPr>
              <w:snapToGrid w:val="0"/>
              <w:spacing w:line="276" w:lineRule="auto"/>
              <w:jc w:val="center"/>
              <w:rPr>
                <w:rFonts w:hint="eastAsia" w:ascii="宋体" w:hAnsi="宋体"/>
                <w:b/>
                <w:szCs w:val="21"/>
              </w:rPr>
            </w:pPr>
            <w:r>
              <w:rPr>
                <w:rFonts w:hint="eastAsia" w:ascii="宋体" w:hAnsi="宋体"/>
                <w:b/>
                <w:szCs w:val="21"/>
              </w:rPr>
              <w:t>序号</w:t>
            </w:r>
          </w:p>
        </w:tc>
        <w:tc>
          <w:tcPr>
            <w:tcW w:w="1708" w:type="dxa"/>
            <w:vAlign w:val="center"/>
          </w:tcPr>
          <w:p>
            <w:pPr>
              <w:snapToGrid w:val="0"/>
              <w:spacing w:line="276" w:lineRule="auto"/>
              <w:jc w:val="center"/>
              <w:rPr>
                <w:rFonts w:ascii="宋体" w:hAnsi="宋体"/>
                <w:b/>
                <w:szCs w:val="21"/>
              </w:rPr>
            </w:pPr>
            <w:r>
              <w:rPr>
                <w:rFonts w:hint="eastAsia" w:ascii="宋体" w:hAnsi="宋体"/>
                <w:b/>
                <w:szCs w:val="21"/>
              </w:rPr>
              <w:t>评审项目</w:t>
            </w:r>
          </w:p>
        </w:tc>
        <w:tc>
          <w:tcPr>
            <w:tcW w:w="6412" w:type="dxa"/>
            <w:vAlign w:val="center"/>
          </w:tcPr>
          <w:p>
            <w:pPr>
              <w:snapToGrid w:val="0"/>
              <w:spacing w:line="276" w:lineRule="auto"/>
              <w:jc w:val="center"/>
              <w:rPr>
                <w:rFonts w:ascii="宋体" w:hAnsi="宋体"/>
                <w:b/>
                <w:szCs w:val="21"/>
              </w:rPr>
            </w:pPr>
            <w:r>
              <w:rPr>
                <w:rFonts w:hint="eastAsia" w:ascii="宋体" w:hAnsi="宋体"/>
                <w:b/>
                <w:szCs w:val="21"/>
              </w:rPr>
              <w:t>评审细则</w:t>
            </w:r>
          </w:p>
        </w:tc>
        <w:tc>
          <w:tcPr>
            <w:tcW w:w="843" w:type="dxa"/>
            <w:vAlign w:val="center"/>
          </w:tcPr>
          <w:p>
            <w:pPr>
              <w:snapToGrid w:val="0"/>
              <w:spacing w:line="276" w:lineRule="auto"/>
              <w:ind w:left="-63" w:leftChars="-30" w:right="-139" w:rightChars="-66"/>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一般性商务条款（非“★”、“▲”号商务条款）响应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根据报名文件对商务要求条款中的一般性商务要求（非“★”、“▲”号商务条款）的响应情况进行评审（共</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分，扣完为止。</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1708" w:type="dxa"/>
            <w:vAlign w:val="center"/>
          </w:tcPr>
          <w:p>
            <w:pPr>
              <w:spacing w:line="276" w:lineRule="auto"/>
              <w:jc w:val="center"/>
              <w:rPr>
                <w:rFonts w:hint="eastAsia" w:ascii="宋体" w:hAnsi="宋体" w:cs="宋体"/>
                <w:szCs w:val="21"/>
              </w:rPr>
            </w:pPr>
            <w:r>
              <w:rPr>
                <w:rFonts w:hint="eastAsia" w:ascii="宋体" w:hAnsi="宋体" w:cs="宋体"/>
                <w:szCs w:val="21"/>
              </w:rPr>
              <w:t>同类项目业绩</w:t>
            </w:r>
          </w:p>
        </w:tc>
        <w:tc>
          <w:tcPr>
            <w:tcW w:w="6412" w:type="dxa"/>
            <w:vAlign w:val="center"/>
          </w:tcPr>
          <w:p>
            <w:pPr>
              <w:pStyle w:val="2"/>
              <w:ind w:firstLine="0" w:firstLineChars="0"/>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提供报名人自202</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年1月1日至今同类业绩（</w:t>
            </w:r>
            <w:r>
              <w:rPr>
                <w:rFonts w:hint="eastAsia" w:ascii="宋体" w:hAnsi="宋体" w:cs="宋体"/>
                <w:color w:val="FF0000"/>
                <w:kern w:val="0"/>
                <w:sz w:val="21"/>
                <w:szCs w:val="21"/>
                <w:lang w:bidi="ar"/>
              </w:rPr>
              <w:t>同类是指</w:t>
            </w:r>
            <w:r>
              <w:rPr>
                <w:rFonts w:hint="eastAsia" w:ascii="宋体" w:hAnsi="宋体" w:cs="宋体"/>
                <w:color w:val="FF0000"/>
                <w:kern w:val="0"/>
                <w:sz w:val="21"/>
                <w:szCs w:val="21"/>
                <w:lang w:val="en-US" w:eastAsia="zh-CN" w:bidi="ar"/>
              </w:rPr>
              <w:t>护士鞋</w:t>
            </w:r>
            <w:r>
              <w:rPr>
                <w:rFonts w:hint="eastAsia" w:ascii="宋体" w:hAnsi="宋体" w:cs="宋体"/>
                <w:color w:val="FF0000"/>
                <w:kern w:val="0"/>
                <w:sz w:val="21"/>
                <w:szCs w:val="21"/>
                <w:lang w:bidi="ar"/>
              </w:rPr>
              <w:t>采购</w:t>
            </w:r>
            <w:r>
              <w:rPr>
                <w:rFonts w:hint="eastAsia" w:ascii="宋体" w:hAnsi="宋体" w:cs="宋体"/>
                <w:bCs/>
                <w:sz w:val="24"/>
              </w:rPr>
              <w:t>相关业绩</w:t>
            </w:r>
            <w:r>
              <w:rPr>
                <w:rFonts w:hint="eastAsia" w:ascii="宋体" w:hAnsi="宋体" w:cs="宋体"/>
                <w:color w:val="000000"/>
                <w:kern w:val="0"/>
                <w:sz w:val="21"/>
                <w:szCs w:val="21"/>
                <w:lang w:bidi="ar"/>
              </w:rPr>
              <w:t>），每提供一项同类项目业绩得2分，最高得6分。</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注：以合同签订时间为准，与同一用户单位签订的多份同类项目业绩不累计计分。需附上合同关键页作为证明材料（含签订合同双方的单位名称、合同项目名称、合同金额、签订合同双方的落款盖章、签订日期等的关键页）</w:t>
            </w:r>
          </w:p>
        </w:tc>
        <w:tc>
          <w:tcPr>
            <w:tcW w:w="843" w:type="dxa"/>
            <w:vAlign w:val="center"/>
          </w:tcPr>
          <w:p>
            <w:pPr>
              <w:spacing w:line="276" w:lineRule="auto"/>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3</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kern w:val="0"/>
                <w:szCs w:val="21"/>
              </w:rPr>
              <w:t>用户评价</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报名人提供符合上述要求的202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年1月1日至今的同类项目经验的用户单位出具的满意度评价，评价情况至少须为“满意”、“优秀”、“90分”或类似好评的方可计分：每提供一项得2分，本项最高6分。</w:t>
            </w:r>
          </w:p>
          <w:p>
            <w:pPr>
              <w:jc w:val="left"/>
              <w:rPr>
                <w:rFonts w:hint="eastAsia" w:ascii="宋体" w:hAnsi="宋体" w:cs="宋体"/>
                <w:szCs w:val="21"/>
                <w:highlight w:val="white"/>
              </w:rPr>
            </w:pPr>
            <w:r>
              <w:rPr>
                <w:rFonts w:hint="eastAsia" w:ascii="宋体" w:hAnsi="宋体" w:cs="宋体"/>
                <w:color w:val="000000"/>
                <w:kern w:val="0"/>
                <w:szCs w:val="21"/>
                <w:lang w:bidi="ar"/>
              </w:rPr>
              <w:t>注： ①同一客户或同一项目提供多项用户满意度评价的，按一项计算； ②须与报名人上述提供的202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年1月1日至今的同类项目经验的用户单位一致； ③用户满意度评价须经用户单位盖章，评价情况至少须为满意或类似好评的方可计分。</w:t>
            </w:r>
          </w:p>
        </w:tc>
        <w:tc>
          <w:tcPr>
            <w:tcW w:w="843" w:type="dxa"/>
            <w:vAlign w:val="center"/>
          </w:tcPr>
          <w:p>
            <w:pPr>
              <w:spacing w:line="276" w:lineRule="auto"/>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szCs w:val="21"/>
              </w:rPr>
            </w:pPr>
            <w:r>
              <w:rPr>
                <w:rFonts w:hint="eastAsia" w:ascii="宋体" w:hAnsi="宋体"/>
                <w:szCs w:val="21"/>
              </w:rPr>
              <w:t>4</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color w:val="000000"/>
                <w:kern w:val="0"/>
                <w:szCs w:val="21"/>
                <w:lang w:bidi="ar"/>
              </w:rPr>
              <w:t>售后服务方案</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报名人针对本项目需求拟提供的售后服务方案进行综合评价：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1.售后方案完全满足采购需求，方案全面、科学且能够结合项目特点的，得</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2.售后方案满足采购需求，方案具有一定的全面性和科学性，具有一定的合理性的，得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3.售后方案满足采购需求，部分方案不清晰且可行性欠缺的，得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szCs w:val="21"/>
                <w:highlight w:val="white"/>
              </w:rPr>
            </w:pPr>
            <w:r>
              <w:rPr>
                <w:rFonts w:hint="eastAsia" w:ascii="宋体" w:hAnsi="宋体" w:cs="宋体"/>
                <w:color w:val="000000"/>
                <w:kern w:val="0"/>
                <w:szCs w:val="21"/>
                <w:lang w:bidi="ar"/>
              </w:rPr>
              <w:t>4.部分不满足采购需求，部分方案不具有保障性且不可行的，或不提供的不得分。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698" w:type="dxa"/>
            <w:vAlign w:val="center"/>
          </w:tcPr>
          <w:p>
            <w:pPr>
              <w:spacing w:line="276" w:lineRule="auto"/>
              <w:jc w:val="center"/>
              <w:rPr>
                <w:rFonts w:hint="eastAsia" w:ascii="宋体" w:hAnsi="宋体"/>
                <w:szCs w:val="21"/>
              </w:rPr>
            </w:pPr>
            <w:r>
              <w:rPr>
                <w:rFonts w:hint="eastAsia" w:ascii="宋体" w:hAnsi="宋体" w:cs="宋体"/>
                <w:szCs w:val="21"/>
              </w:rPr>
              <w:t>5</w:t>
            </w:r>
          </w:p>
        </w:tc>
        <w:tc>
          <w:tcPr>
            <w:tcW w:w="1708" w:type="dxa"/>
            <w:vAlign w:val="center"/>
          </w:tcPr>
          <w:p>
            <w:pPr>
              <w:spacing w:line="276" w:lineRule="auto"/>
              <w:jc w:val="center"/>
              <w:rPr>
                <w:rFonts w:hint="eastAsia" w:ascii="宋体" w:hAnsi="宋体"/>
                <w:szCs w:val="21"/>
              </w:rPr>
            </w:pPr>
            <w:r>
              <w:rPr>
                <w:rFonts w:hint="eastAsia" w:ascii="宋体" w:hAnsi="宋体" w:cs="宋体"/>
                <w:color w:val="000000"/>
                <w:kern w:val="0"/>
                <w:szCs w:val="21"/>
                <w:lang w:bidi="ar"/>
              </w:rPr>
              <w:t>管理体系认证</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每提供以下一项有效期内的报名人的认证证书，</w:t>
            </w:r>
            <w:r>
              <w:rPr>
                <w:rFonts w:hint="eastAsia" w:ascii="宋体" w:hAnsi="宋体" w:cs="宋体"/>
                <w:szCs w:val="21"/>
              </w:rPr>
              <w:t>到达年度审查时间的须同时提供有效的最新年度审查证明文件，</w:t>
            </w:r>
            <w:r>
              <w:rPr>
                <w:rFonts w:hint="eastAsia" w:ascii="宋体" w:hAnsi="宋体" w:cs="宋体"/>
                <w:color w:val="000000"/>
                <w:kern w:val="0"/>
                <w:szCs w:val="21"/>
                <w:lang w:bidi="ar"/>
              </w:rPr>
              <w:t>可得1分，最高3分：</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1）职业健康安全管理体系认证证书；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2）环境管理体系认证证书；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3）质量管理体系认证证书。</w:t>
            </w:r>
          </w:p>
          <w:p>
            <w:pPr>
              <w:jc w:val="left"/>
              <w:rPr>
                <w:rFonts w:hint="eastAsia" w:ascii="宋体" w:hAnsi="宋体"/>
                <w:szCs w:val="21"/>
              </w:rPr>
            </w:pPr>
            <w:r>
              <w:rPr>
                <w:rFonts w:hint="eastAsia" w:ascii="宋体" w:hAnsi="宋体" w:cs="宋体"/>
                <w:color w:val="000000"/>
                <w:kern w:val="0"/>
                <w:szCs w:val="21"/>
                <w:lang w:bidi="ar"/>
              </w:rPr>
              <w:t>注：</w:t>
            </w:r>
            <w:r>
              <w:rPr>
                <w:rFonts w:hint="eastAsia" w:ascii="宋体" w:hAnsi="宋体" w:cs="宋体"/>
                <w:szCs w:val="21"/>
              </w:rPr>
              <w:t>如公司新成立未达到申请时间要求的得满分；</w:t>
            </w:r>
            <w:r>
              <w:rPr>
                <w:rFonts w:hint="eastAsia" w:ascii="宋体" w:hAnsi="宋体" w:cs="宋体"/>
                <w:color w:val="000000"/>
                <w:kern w:val="0"/>
                <w:szCs w:val="21"/>
                <w:lang w:bidi="ar"/>
              </w:rPr>
              <w:t>提供以上有效的证书复印件加盖公章，不提供不得分。</w:t>
            </w:r>
          </w:p>
        </w:tc>
        <w:tc>
          <w:tcPr>
            <w:tcW w:w="843" w:type="dxa"/>
            <w:vAlign w:val="center"/>
          </w:tcPr>
          <w:p>
            <w:pPr>
              <w:spacing w:line="276"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818" w:type="dxa"/>
            <w:gridSpan w:val="3"/>
            <w:vAlign w:val="center"/>
          </w:tcPr>
          <w:p>
            <w:pPr>
              <w:spacing w:line="276" w:lineRule="auto"/>
              <w:jc w:val="center"/>
              <w:rPr>
                <w:rFonts w:ascii="宋体" w:hAnsi="宋体"/>
                <w:szCs w:val="21"/>
              </w:rPr>
            </w:pPr>
            <w:r>
              <w:rPr>
                <w:rFonts w:hint="eastAsia" w:ascii="宋体" w:hAnsi="宋体" w:cs="宋体"/>
                <w:szCs w:val="21"/>
              </w:rPr>
              <w:t>合计</w:t>
            </w:r>
          </w:p>
        </w:tc>
        <w:tc>
          <w:tcPr>
            <w:tcW w:w="843" w:type="dxa"/>
            <w:vAlign w:val="center"/>
          </w:tcPr>
          <w:p>
            <w:pPr>
              <w:spacing w:line="276" w:lineRule="auto"/>
              <w:jc w:val="center"/>
              <w:rPr>
                <w:rFonts w:ascii="宋体" w:hAnsi="宋体" w:cs="宋体"/>
                <w:szCs w:val="21"/>
              </w:rPr>
            </w:pPr>
            <w:r>
              <w:rPr>
                <w:rFonts w:hint="eastAsia" w:ascii="宋体" w:hAnsi="宋体" w:cs="宋体"/>
                <w:szCs w:val="21"/>
              </w:rPr>
              <w:t>30</w:t>
            </w:r>
          </w:p>
        </w:tc>
      </w:tr>
    </w:tbl>
    <w:p>
      <w:pPr>
        <w:spacing w:line="360" w:lineRule="auto"/>
        <w:rPr>
          <w:rFonts w:hint="eastAsia" w:ascii="宋体" w:hAnsi="宋体" w:cs="宋体"/>
          <w:b/>
          <w:kern w:val="1"/>
          <w:sz w:val="24"/>
        </w:rPr>
      </w:pPr>
    </w:p>
    <w:p>
      <w:pPr>
        <w:tabs>
          <w:tab w:val="left" w:pos="0"/>
        </w:tabs>
        <w:spacing w:line="360" w:lineRule="auto"/>
        <w:rPr>
          <w:rFonts w:hint="eastAsia" w:ascii="宋体" w:hAnsi="宋体" w:cs="宋体"/>
        </w:rPr>
      </w:pPr>
    </w:p>
    <w:p>
      <w:pPr>
        <w:tabs>
          <w:tab w:val="left" w:pos="0"/>
        </w:tabs>
        <w:spacing w:line="360" w:lineRule="auto"/>
        <w:ind w:firstLine="420" w:firstLineChars="200"/>
        <w:rPr>
          <w:rFonts w:hint="eastAsia" w:ascii="宋体" w:hAnsi="宋体" w:cs="宋体"/>
        </w:rPr>
      </w:pPr>
      <w:r>
        <w:rPr>
          <w:rFonts w:hint="eastAsia" w:ascii="宋体" w:hAnsi="宋体" w:cs="宋体"/>
        </w:rPr>
        <w:t>4.3 技术评分：评审小组就各报名人对技术评审内容的各项要求进行评分，评审的具体内容见《技术评审表》。</w:t>
      </w:r>
    </w:p>
    <w:p>
      <w:pPr>
        <w:spacing w:line="360" w:lineRule="auto"/>
        <w:jc w:val="center"/>
        <w:rPr>
          <w:rFonts w:hint="eastAsia"/>
        </w:rPr>
      </w:pPr>
      <w:r>
        <w:rPr>
          <w:rFonts w:hint="eastAsia" w:ascii="宋体" w:hAnsi="宋体" w:cs="宋体"/>
          <w:b/>
          <w:kern w:val="1"/>
          <w:sz w:val="24"/>
        </w:rPr>
        <w:t>技术评审表</w:t>
      </w:r>
    </w:p>
    <w:tbl>
      <w:tblPr>
        <w:tblStyle w:val="20"/>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78"/>
        <w:gridCol w:w="66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9" w:type="dxa"/>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1578" w:type="dxa"/>
            <w:vAlign w:val="center"/>
          </w:tcPr>
          <w:p>
            <w:pPr>
              <w:snapToGrid w:val="0"/>
              <w:jc w:val="center"/>
              <w:rPr>
                <w:rFonts w:hint="eastAsia" w:ascii="宋体" w:hAnsi="宋体" w:cs="宋体"/>
                <w:b/>
                <w:szCs w:val="21"/>
              </w:rPr>
            </w:pPr>
            <w:r>
              <w:rPr>
                <w:rFonts w:hint="eastAsia" w:ascii="宋体" w:hAnsi="宋体" w:cs="宋体"/>
                <w:b/>
                <w:szCs w:val="21"/>
              </w:rPr>
              <w:t>评审项目</w:t>
            </w:r>
          </w:p>
        </w:tc>
        <w:tc>
          <w:tcPr>
            <w:tcW w:w="6694" w:type="dxa"/>
            <w:vAlign w:val="center"/>
          </w:tcPr>
          <w:p>
            <w:pPr>
              <w:snapToGrid w:val="0"/>
              <w:jc w:val="center"/>
              <w:rPr>
                <w:rFonts w:hint="eastAsia" w:ascii="宋体" w:hAnsi="宋体" w:cs="宋体"/>
                <w:b/>
                <w:szCs w:val="21"/>
              </w:rPr>
            </w:pPr>
            <w:r>
              <w:rPr>
                <w:rFonts w:hint="eastAsia" w:ascii="宋体" w:hAnsi="宋体" w:cs="宋体"/>
                <w:b/>
                <w:szCs w:val="21"/>
              </w:rPr>
              <w:t>评审细则</w:t>
            </w:r>
          </w:p>
        </w:tc>
        <w:tc>
          <w:tcPr>
            <w:tcW w:w="668" w:type="dxa"/>
            <w:vAlign w:val="center"/>
          </w:tcPr>
          <w:p>
            <w:pPr>
              <w:snapToGrid w:val="0"/>
              <w:ind w:left="-63" w:leftChars="-30" w:right="-139" w:rightChars="-66"/>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1</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一般性条款（非“★”、“▲”号技术/服务条款）响应</w:t>
            </w:r>
          </w:p>
        </w:tc>
        <w:tc>
          <w:tcPr>
            <w:tcW w:w="6694" w:type="dxa"/>
            <w:vAlign w:val="top"/>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根据报名文件对需求要求条款中的一般性技术要求（非“★”、“▲”号服务条款）的响应情况进行评审</w:t>
            </w:r>
            <w:r>
              <w:rPr>
                <w:rFonts w:hint="eastAsia" w:ascii="宋体" w:hAnsi="宋体" w:cs="宋体"/>
                <w:color w:val="FF0000"/>
                <w:kern w:val="0"/>
                <w:szCs w:val="21"/>
                <w:lang w:bidi="ar"/>
              </w:rPr>
              <w:t>（共</w:t>
            </w:r>
            <w:r>
              <w:rPr>
                <w:rFonts w:hint="eastAsia" w:ascii="宋体" w:hAnsi="宋体" w:cs="宋体"/>
                <w:color w:val="FF0000"/>
                <w:kern w:val="0"/>
                <w:szCs w:val="21"/>
                <w:lang w:val="en-US" w:eastAsia="zh-CN" w:bidi="ar"/>
              </w:rPr>
              <w:t>9</w:t>
            </w:r>
            <w:r>
              <w:rPr>
                <w:rFonts w:hint="eastAsia" w:ascii="宋体" w:hAnsi="宋体" w:cs="宋体"/>
                <w:color w:val="FF0000"/>
                <w:kern w:val="0"/>
                <w:szCs w:val="21"/>
                <w:lang w:bidi="ar"/>
              </w:rPr>
              <w:t>项，每项</w:t>
            </w:r>
            <w:r>
              <w:rPr>
                <w:rFonts w:hint="eastAsia" w:ascii="宋体" w:hAnsi="宋体" w:cs="宋体"/>
                <w:color w:val="FF0000"/>
                <w:kern w:val="0"/>
                <w:szCs w:val="21"/>
                <w:lang w:val="en-US" w:eastAsia="zh-CN" w:bidi="ar"/>
              </w:rPr>
              <w:t>2</w:t>
            </w:r>
            <w:r>
              <w:rPr>
                <w:rFonts w:hint="eastAsia" w:ascii="宋体" w:hAnsi="宋体" w:cs="宋体"/>
                <w:color w:val="FF0000"/>
                <w:kern w:val="0"/>
                <w:szCs w:val="21"/>
                <w:lang w:bidi="ar"/>
              </w:rPr>
              <w:t>分，共</w:t>
            </w:r>
            <w:r>
              <w:rPr>
                <w:rFonts w:hint="eastAsia" w:ascii="宋体" w:hAnsi="宋体" w:cs="宋体"/>
                <w:color w:val="FF0000"/>
                <w:kern w:val="0"/>
                <w:szCs w:val="21"/>
                <w:lang w:val="en-US" w:eastAsia="zh-CN" w:bidi="ar"/>
              </w:rPr>
              <w:t>18</w:t>
            </w:r>
            <w:r>
              <w:rPr>
                <w:rFonts w:hint="eastAsia" w:ascii="宋体" w:hAnsi="宋体" w:cs="宋体"/>
                <w:color w:val="FF0000"/>
                <w:kern w:val="0"/>
                <w:szCs w:val="21"/>
                <w:lang w:bidi="ar"/>
              </w:rPr>
              <w:t>分）</w:t>
            </w:r>
            <w:r>
              <w:rPr>
                <w:rFonts w:hint="eastAsia" w:ascii="宋体" w:hAnsi="宋体" w:cs="宋体"/>
                <w:color w:val="000000"/>
                <w:kern w:val="0"/>
                <w:szCs w:val="21"/>
                <w:lang w:bidi="ar"/>
              </w:rPr>
              <w:t>：全部一般性技术要求响应情况为“正偏离”或“符合”或“无偏离”的，得</w:t>
            </w:r>
            <w:r>
              <w:rPr>
                <w:rFonts w:hint="eastAsia" w:ascii="宋体" w:hAnsi="宋体" w:cs="宋体"/>
                <w:color w:val="000000"/>
                <w:kern w:val="0"/>
                <w:szCs w:val="21"/>
                <w:lang w:val="en-US" w:eastAsia="zh-CN" w:bidi="ar"/>
              </w:rPr>
              <w:t>18</w:t>
            </w:r>
            <w:r>
              <w:rPr>
                <w:rFonts w:hint="eastAsia" w:ascii="宋体" w:hAnsi="宋体" w:cs="宋体"/>
                <w:color w:val="000000"/>
                <w:kern w:val="0"/>
                <w:szCs w:val="21"/>
                <w:lang w:bidi="ar"/>
              </w:rPr>
              <w:t>分；每有一项一般性技术要求响应情况为“负偏离”的，扣</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分，扣完为止。</w:t>
            </w:r>
          </w:p>
          <w:p>
            <w:pPr>
              <w:autoSpaceDE w:val="0"/>
              <w:autoSpaceDN w:val="0"/>
              <w:adjustRightInd w:val="0"/>
              <w:jc w:val="left"/>
              <w:rPr>
                <w:rFonts w:hint="eastAsia" w:ascii="宋体" w:hAnsi="宋体" w:cs="宋体"/>
                <w:szCs w:val="21"/>
              </w:rPr>
            </w:pPr>
            <w:r>
              <w:rPr>
                <w:rFonts w:hint="eastAsia" w:ascii="宋体" w:hAnsi="宋体" w:cs="宋体"/>
                <w:color w:val="000000"/>
                <w:kern w:val="0"/>
                <w:szCs w:val="21"/>
                <w:lang w:bidi="ar"/>
              </w:rPr>
              <w:t>备注：1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668" w:type="dxa"/>
            <w:vAlign w:val="center"/>
          </w:tcPr>
          <w:p>
            <w:pPr>
              <w:jc w:val="center"/>
              <w:rPr>
                <w:rFonts w:hint="default" w:ascii="宋体" w:hAnsi="宋体" w:cs="宋体"/>
                <w:szCs w:val="21"/>
                <w:lang w:val="en-US"/>
              </w:rPr>
            </w:pPr>
            <w:r>
              <w:rPr>
                <w:rFonts w:hint="eastAsia" w:ascii="宋体" w:hAnsi="宋体" w:cs="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2</w:t>
            </w:r>
          </w:p>
        </w:tc>
        <w:tc>
          <w:tcPr>
            <w:tcW w:w="1578" w:type="dxa"/>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样品情况</w:t>
            </w:r>
          </w:p>
        </w:tc>
        <w:tc>
          <w:tcPr>
            <w:tcW w:w="6694" w:type="dxa"/>
            <w:vAlign w:val="top"/>
          </w:tcPr>
          <w:p>
            <w:pPr>
              <w:jc w:val="left"/>
            </w:pPr>
            <w:r>
              <w:t>根据</w:t>
            </w:r>
            <w:r>
              <w:rPr>
                <w:rFonts w:hint="eastAsia"/>
              </w:rPr>
              <w:t>报名人</w:t>
            </w:r>
            <w:r>
              <w:t>提供的</w:t>
            </w:r>
            <w:r>
              <w:rPr>
                <w:rFonts w:hint="eastAsia"/>
              </w:rPr>
              <w:t>样品</w:t>
            </w:r>
            <w:r>
              <w:t>进行评审：</w:t>
            </w:r>
          </w:p>
          <w:p>
            <w:pPr>
              <w:jc w:val="left"/>
              <w:rPr>
                <w:rFonts w:hint="eastAsia"/>
              </w:rPr>
            </w:pPr>
            <w:r>
              <w:rPr>
                <w:rFonts w:hint="eastAsia" w:ascii="宋体" w:hAnsi="宋体" w:cs="Dialog"/>
                <w:szCs w:val="21"/>
              </w:rPr>
              <w:t>1</w:t>
            </w:r>
            <w:r>
              <w:rPr>
                <w:rFonts w:hint="eastAsia"/>
              </w:rPr>
              <w:t>样品齐全，外观细节及设计合理，</w:t>
            </w:r>
            <w:r>
              <w:rPr>
                <w:rFonts w:hint="eastAsia" w:ascii="宋体" w:hAnsi="宋体" w:cs="宋体"/>
                <w:szCs w:val="21"/>
              </w:rPr>
              <w:t>样品材质、外观、颜色、质量好，满足需求，且工艺精致</w:t>
            </w:r>
            <w:r>
              <w:rPr>
                <w:rFonts w:hint="eastAsia"/>
              </w:rPr>
              <w:t>，得</w:t>
            </w:r>
            <w:r>
              <w:rPr>
                <w:rFonts w:hint="eastAsia"/>
                <w:lang w:val="en-US" w:eastAsia="zh-CN"/>
              </w:rPr>
              <w:t>12</w:t>
            </w:r>
            <w:r>
              <w:rPr>
                <w:rFonts w:hint="eastAsia"/>
              </w:rPr>
              <w:t>分;</w:t>
            </w:r>
          </w:p>
          <w:p>
            <w:pPr>
              <w:jc w:val="left"/>
              <w:rPr>
                <w:rFonts w:hint="eastAsia"/>
              </w:rPr>
            </w:pPr>
            <w:r>
              <w:rPr>
                <w:rFonts w:hint="eastAsia" w:ascii="宋体" w:hAnsi="宋体" w:cs="Dialog"/>
                <w:szCs w:val="21"/>
              </w:rPr>
              <w:t>2</w:t>
            </w:r>
            <w:r>
              <w:rPr>
                <w:rFonts w:hint="eastAsia"/>
              </w:rPr>
              <w:t>样品齐全，外观细节及设计较合理，</w:t>
            </w:r>
            <w:r>
              <w:rPr>
                <w:rFonts w:hint="eastAsia" w:ascii="宋体" w:hAnsi="宋体" w:cs="宋体"/>
                <w:szCs w:val="21"/>
              </w:rPr>
              <w:t>样品材质、外观、颜色、质量基本满足需求，制作工艺精致</w:t>
            </w:r>
            <w:r>
              <w:rPr>
                <w:rFonts w:hint="eastAsia"/>
              </w:rPr>
              <w:t>，得</w:t>
            </w:r>
            <w:r>
              <w:rPr>
                <w:rFonts w:hint="eastAsia"/>
                <w:lang w:val="en-US" w:eastAsia="zh-CN"/>
              </w:rPr>
              <w:t>7</w:t>
            </w:r>
            <w:r>
              <w:rPr>
                <w:rFonts w:hint="eastAsia"/>
              </w:rPr>
              <w:t>分;</w:t>
            </w:r>
          </w:p>
          <w:p>
            <w:pPr>
              <w:jc w:val="left"/>
              <w:rPr>
                <w:rFonts w:hint="eastAsia"/>
              </w:rPr>
            </w:pPr>
            <w:r>
              <w:rPr>
                <w:rFonts w:hint="eastAsia" w:ascii="宋体" w:hAnsi="宋体" w:cs="Dialog"/>
                <w:szCs w:val="21"/>
              </w:rPr>
              <w:t>3</w:t>
            </w:r>
            <w:r>
              <w:rPr>
                <w:rFonts w:hint="eastAsia"/>
              </w:rPr>
              <w:t>样品齐全，外观细节及设计不合理，</w:t>
            </w:r>
            <w:r>
              <w:rPr>
                <w:rFonts w:hint="eastAsia" w:ascii="宋体" w:hAnsi="宋体" w:cs="宋体"/>
                <w:szCs w:val="21"/>
              </w:rPr>
              <w:t>样品材质、外观、颜色、质量不符合需求，或制作工艺普通</w:t>
            </w:r>
            <w:r>
              <w:rPr>
                <w:rFonts w:hint="eastAsia"/>
              </w:rPr>
              <w:t>，得</w:t>
            </w:r>
            <w:r>
              <w:rPr>
                <w:rFonts w:hint="eastAsia"/>
                <w:lang w:val="en-US" w:eastAsia="zh-CN"/>
              </w:rPr>
              <w:t>2</w:t>
            </w:r>
            <w:r>
              <w:rPr>
                <w:rFonts w:hint="eastAsia"/>
              </w:rPr>
              <w:t>分;</w:t>
            </w:r>
          </w:p>
          <w:p>
            <w:pPr>
              <w:jc w:val="left"/>
              <w:rPr>
                <w:rFonts w:hint="eastAsia"/>
              </w:rPr>
            </w:pPr>
            <w:r>
              <w:rPr>
                <w:rFonts w:hint="eastAsia" w:ascii="宋体" w:hAnsi="宋体" w:cs="Dialog"/>
                <w:szCs w:val="21"/>
              </w:rPr>
              <w:t>4</w:t>
            </w:r>
            <w:r>
              <w:rPr>
                <w:rFonts w:hint="eastAsia"/>
              </w:rPr>
              <w:t>样品不齐全或不提供，得0分。</w:t>
            </w:r>
          </w:p>
          <w:p>
            <w:pPr>
              <w:autoSpaceDE w:val="0"/>
              <w:autoSpaceDN w:val="0"/>
              <w:adjustRightInd w:val="0"/>
              <w:jc w:val="left"/>
              <w:rPr>
                <w:rFonts w:hint="eastAsia" w:ascii="宋体" w:hAnsi="宋体" w:cs="宋体"/>
                <w:color w:val="000000"/>
                <w:kern w:val="0"/>
                <w:szCs w:val="21"/>
                <w:lang w:bidi="ar"/>
              </w:rPr>
            </w:pPr>
            <w:r>
              <w:rPr>
                <w:rFonts w:hint="eastAsia"/>
              </w:rPr>
              <w:t>注:按采购需求提供样品。</w:t>
            </w:r>
          </w:p>
        </w:tc>
        <w:tc>
          <w:tcPr>
            <w:tcW w:w="668" w:type="dxa"/>
            <w:vAlign w:val="center"/>
          </w:tcPr>
          <w:p>
            <w:pPr>
              <w:jc w:val="center"/>
              <w:rPr>
                <w:rFonts w:ascii="宋体" w:hAnsi="宋体" w:cs="宋体"/>
                <w:szCs w:val="21"/>
              </w:rPr>
            </w:pP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3"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3</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配送服务方案（一）</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根据报名人针对本项目需求拟提供的配送、服务方案的框架内容进行评审，方案框架应至少包括以下内容（报名文件中方案标题应以下列方案名称命名）。</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（一）货物的运输、装卸、</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（二）配送人员的安排</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（三）应急情况下的安排</w:t>
            </w:r>
          </w:p>
          <w:p>
            <w:pPr>
              <w:jc w:val="left"/>
              <w:rPr>
                <w:rFonts w:hint="eastAsia" w:ascii="宋体" w:hAnsi="宋体"/>
              </w:rPr>
            </w:pPr>
            <w:r>
              <w:rPr>
                <w:rFonts w:hint="eastAsia" w:ascii="宋体" w:hAnsi="宋体" w:cs="宋体"/>
                <w:color w:val="000000"/>
                <w:kern w:val="0"/>
                <w:szCs w:val="21"/>
                <w:lang w:bidi="ar"/>
              </w:rPr>
              <w:t>注：提供全部内容得1分，不提供或提供不全不得分。</w:t>
            </w:r>
          </w:p>
        </w:tc>
        <w:tc>
          <w:tcPr>
            <w:tcW w:w="668" w:type="dxa"/>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4</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配送服务方案（二）</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szCs w:val="21"/>
              </w:rPr>
              <w:tab/>
            </w:r>
            <w:r>
              <w:rPr>
                <w:rFonts w:hint="eastAsia" w:ascii="宋体" w:hAnsi="宋体" w:cs="宋体"/>
                <w:color w:val="000000"/>
                <w:kern w:val="0"/>
                <w:szCs w:val="21"/>
                <w:lang w:bidi="ar"/>
              </w:rPr>
              <w:t xml:space="preserve">根据报名人针对本项目需求拟提供的配送、服务方案的详细内容进行综合评价：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1.配送方案全面、科学，人员安排合理，能够充分结合项目特点且符合采购需求，得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2.配送方案较全面、科学，人员安排较合理，较能结合项目特点且符合采购需求，得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3.配送方案全面、科学性一般，人员安排欠合理，结合项目特点一般，基本符合采购需求，得</w:t>
            </w:r>
            <w:r>
              <w:rPr>
                <w:rFonts w:ascii="宋体" w:hAnsi="宋体" w:cs="宋体"/>
                <w:color w:val="000000"/>
                <w:kern w:val="0"/>
                <w:szCs w:val="21"/>
                <w:lang w:bidi="ar"/>
              </w:rPr>
              <w:t>1</w:t>
            </w:r>
            <w:r>
              <w:rPr>
                <w:rFonts w:hint="eastAsia" w:ascii="宋体" w:hAnsi="宋体" w:cs="宋体"/>
                <w:color w:val="000000"/>
                <w:kern w:val="0"/>
                <w:szCs w:val="21"/>
                <w:lang w:bidi="ar"/>
              </w:rPr>
              <w:t xml:space="preserve">分； </w:t>
            </w:r>
          </w:p>
          <w:p>
            <w:pPr>
              <w:jc w:val="left"/>
              <w:rPr>
                <w:rFonts w:hint="eastAsia" w:ascii="宋体" w:hAnsi="宋体" w:cs="宋体"/>
                <w:szCs w:val="21"/>
              </w:rPr>
            </w:pPr>
            <w:r>
              <w:rPr>
                <w:rFonts w:hint="eastAsia" w:ascii="宋体" w:hAnsi="宋体" w:cs="宋体"/>
                <w:color w:val="000000"/>
                <w:kern w:val="0"/>
                <w:szCs w:val="21"/>
                <w:lang w:bidi="ar"/>
              </w:rPr>
              <w:t>4.配送方案不全面和科学，人员安排不合理，未结合项目特点，不能符合采购需求或不提供的，得0分。</w:t>
            </w:r>
          </w:p>
        </w:tc>
        <w:tc>
          <w:tcPr>
            <w:tcW w:w="668" w:type="dxa"/>
            <w:vAlign w:val="center"/>
          </w:tcPr>
          <w:p>
            <w:pPr>
              <w:jc w:val="center"/>
              <w:rPr>
                <w:rFonts w:hint="eastAsia" w:ascii="宋体" w:hAnsi="宋体" w:cs="宋体"/>
                <w:szCs w:val="21"/>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961" w:type="dxa"/>
            <w:gridSpan w:val="3"/>
            <w:vAlign w:val="center"/>
          </w:tcPr>
          <w:p>
            <w:pPr>
              <w:ind w:left="210" w:leftChars="100"/>
              <w:jc w:val="center"/>
              <w:rPr>
                <w:rFonts w:hint="eastAsia" w:ascii="宋体" w:hAnsi="宋体" w:cs="宋体"/>
                <w:szCs w:val="21"/>
              </w:rPr>
            </w:pPr>
            <w:r>
              <w:rPr>
                <w:rFonts w:hint="eastAsia" w:ascii="宋体" w:hAnsi="宋体" w:cs="宋体"/>
                <w:szCs w:val="21"/>
              </w:rPr>
              <w:t>合    计</w:t>
            </w:r>
          </w:p>
        </w:tc>
        <w:tc>
          <w:tcPr>
            <w:tcW w:w="668" w:type="dxa"/>
            <w:vAlign w:val="center"/>
          </w:tcPr>
          <w:p>
            <w:pPr>
              <w:jc w:val="center"/>
              <w:rPr>
                <w:rFonts w:ascii="宋体" w:hAnsi="宋体" w:cs="宋体"/>
                <w:szCs w:val="21"/>
              </w:rPr>
            </w:pPr>
            <w:r>
              <w:rPr>
                <w:rFonts w:hint="eastAsia" w:ascii="宋体" w:hAnsi="宋体" w:cs="宋体"/>
                <w:szCs w:val="21"/>
              </w:rPr>
              <w:t>40</w:t>
            </w:r>
          </w:p>
        </w:tc>
      </w:tr>
    </w:tbl>
    <w:p>
      <w:pPr>
        <w:tabs>
          <w:tab w:val="left" w:pos="0"/>
        </w:tabs>
        <w:spacing w:line="360" w:lineRule="auto"/>
        <w:ind w:firstLine="420" w:firstLineChars="200"/>
        <w:rPr>
          <w:rFonts w:hint="eastAsia" w:ascii="宋体" w:hAnsi="宋体" w:cs="宋体"/>
        </w:rPr>
      </w:pPr>
    </w:p>
    <w:p>
      <w:pPr>
        <w:pStyle w:val="13"/>
        <w:spacing w:line="360" w:lineRule="auto"/>
        <w:ind w:left="0" w:leftChars="0"/>
        <w:rPr>
          <w:rFonts w:hint="eastAsia"/>
          <w:sz w:val="24"/>
        </w:rPr>
      </w:pPr>
      <w:r>
        <w:rPr>
          <w:rFonts w:hint="eastAsia" w:ascii="宋体" w:hAnsi="宋体" w:cs="宋体"/>
        </w:rPr>
        <w:t xml:space="preserve">4.4 </w:t>
      </w:r>
      <w:r>
        <w:rPr>
          <w:rFonts w:hint="eastAsia"/>
          <w:sz w:val="24"/>
        </w:rPr>
        <w:t>满足采购文件要求且最终报价格最低的为评分基准价，价格得分＝（评分基准价/最终报价）＊30，保留两位小数）。</w:t>
      </w: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0" w:firstLineChars="0"/>
        <w:rPr>
          <w:rFonts w:hint="eastAsia" w:ascii="宋体" w:hAnsi="宋体" w:cs="宋体"/>
        </w:rPr>
      </w:pPr>
    </w:p>
    <w:p>
      <w:pPr>
        <w:spacing w:line="360" w:lineRule="auto"/>
        <w:ind w:firstLine="0" w:firstLineChars="0"/>
        <w:rPr>
          <w:rFonts w:hint="eastAsia" w:ascii="宋体" w:hAnsi="宋体" w:cs="宋体"/>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480" w:firstLineChars="200"/>
        <w:rPr>
          <w:rFonts w:hint="eastAsia"/>
          <w:color w:val="000000" w:themeColor="text1"/>
          <w:sz w:val="24"/>
          <w:szCs w:val="24"/>
          <w:lang w:eastAsia="zh-CN"/>
          <w14:textFill>
            <w14:solidFill>
              <w14:schemeClr w14:val="tx1"/>
            </w14:solidFill>
          </w14:textFill>
        </w:rPr>
      </w:pPr>
    </w:p>
    <w:p>
      <w:pPr>
        <w:widowControl/>
        <w:spacing w:line="460" w:lineRule="exact"/>
        <w:jc w:val="both"/>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br w:type="page"/>
      </w:r>
    </w:p>
    <w:bookmarkEnd w:id="11"/>
    <w:p>
      <w:pPr>
        <w:pStyle w:val="13"/>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pPr>
        <w:pStyle w:val="6"/>
        <w:spacing w:line="360" w:lineRule="auto"/>
        <w:ind w:firstLine="2001" w:firstLineChars="500"/>
        <w:jc w:val="both"/>
        <w:rPr>
          <w:b/>
          <w:bCs/>
          <w:color w:val="000000" w:themeColor="text1"/>
          <w:kern w:val="44"/>
          <w:szCs w:val="21"/>
          <w:highlight w:val="none"/>
          <w14:textFill>
            <w14:solidFill>
              <w14:schemeClr w14:val="tx1"/>
            </w14:solidFill>
          </w14:textFill>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color w:val="000000" w:themeColor="text1"/>
          <w:sz w:val="40"/>
          <w:szCs w:val="40"/>
          <w:highlight w:val="none"/>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highlight w:val="none"/>
          <w14:textFill>
            <w14:solidFill>
              <w14:schemeClr w14:val="tx1"/>
            </w14:solidFill>
          </w14:textFill>
        </w:rPr>
        <w:t xml:space="preserve">  用户需求</w:t>
      </w:r>
      <w:bookmarkEnd w:id="82"/>
      <w:bookmarkEnd w:id="83"/>
      <w:r>
        <w:rPr>
          <w:rFonts w:eastAsia="微软雅黑"/>
          <w:b/>
          <w:bCs/>
          <w:color w:val="000000" w:themeColor="text1"/>
          <w:sz w:val="40"/>
          <w:szCs w:val="40"/>
          <w:highlight w:val="none"/>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numPr>
          <w:ilvl w:val="0"/>
          <w:numId w:val="2"/>
        </w:numPr>
        <w:tabs>
          <w:tab w:val="left" w:pos="525"/>
        </w:tabs>
        <w:autoSpaceDE w:val="0"/>
        <w:autoSpaceDN w:val="0"/>
        <w:adjustRightInd w:val="0"/>
        <w:snapToGrid w:val="0"/>
        <w:spacing w:line="360" w:lineRule="auto"/>
        <w:ind w:left="0" w:firstLine="482" w:firstLineChars="200"/>
        <w:outlineLvl w:val="1"/>
        <w:rPr>
          <w:rFonts w:hint="eastAsia" w:ascii="宋体" w:hAnsi="宋体" w:cs="宋体"/>
          <w:b/>
          <w:bCs/>
          <w:color w:val="000000" w:themeColor="text1"/>
          <w:sz w:val="24"/>
          <w:highlight w:val="none"/>
          <w14:textFill>
            <w14:solidFill>
              <w14:schemeClr w14:val="tx1"/>
            </w14:solidFill>
          </w14:textFill>
        </w:rPr>
      </w:pPr>
      <w:bookmarkStart w:id="94" w:name="_Toc385940873"/>
      <w:bookmarkStart w:id="95" w:name="_Toc31880"/>
      <w:bookmarkStart w:id="96" w:name="_Toc2918"/>
      <w:bookmarkStart w:id="97" w:name="_Toc13525"/>
      <w:bookmarkStart w:id="98" w:name="_Toc24192"/>
      <w:bookmarkStart w:id="99" w:name="_Toc1996"/>
      <w:bookmarkStart w:id="100" w:name="_Toc10806"/>
      <w:bookmarkStart w:id="101" w:name="_Toc25514"/>
      <w:bookmarkStart w:id="102" w:name="_Toc24883"/>
      <w:bookmarkStart w:id="103" w:name="_Toc385939531"/>
      <w:bookmarkStart w:id="104" w:name="_Toc5434"/>
      <w:bookmarkStart w:id="105" w:name="_Toc22085"/>
      <w:bookmarkStart w:id="106" w:name="_Toc385940898"/>
      <w:bookmarkStart w:id="107" w:name="OLE_LINK5"/>
      <w:r>
        <w:rPr>
          <w:rFonts w:hint="eastAsia" w:ascii="宋体" w:hAnsi="宋体" w:cs="宋体"/>
          <w:b/>
          <w:bCs/>
          <w:color w:val="000000" w:themeColor="text1"/>
          <w:sz w:val="24"/>
          <w:highlight w:val="none"/>
          <w14:textFill>
            <w14:solidFill>
              <w14:schemeClr w14:val="tx1"/>
            </w14:solidFill>
          </w14:textFill>
        </w:rPr>
        <w:t>总体要求</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1．标有“★”的条款为必须完全满足的实质性要求，报名人如有一项带“★”的条款未响应或负偏离，将按无效报名处理。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2．标有“▲”的条款为重要性要求，报名人如有带“▲”的条款未响应或负偏离的将被严重扣分。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3．报名人必须承诺提供厂家原装、全新的、符合国家及用户提出的有关质量标准的设备。</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4．报名人在响应详细内容中必须列出具体数值。如果报名人只注明“正偏离”或“无偏离”，将被视为“负偏离”，从而可能导致严重影响采购结果。</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家出具相关证明，否则以产品说明资料为准。</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6．报名人必须承诺所报名产品中凡列入《中华人民共和国实施强制性产品认证的产品目录》的产品已经获得CCC认证证书。</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7．涉及到软件产品的，必须采购和使用正版软件，项目中涉及计算机办公产品的，必须预装正版操作系统软件。</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8．报名人没有在报名文件中注明偏离（文字说明或在技术、商务响应表注明）的参数、配置、条款视为被报名人完全接受。</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9．报名人应保证，院方在中华人民共和国使用该货物或货物的任何一部分时，免受第三方提出的侵犯其专利权、商标权、著作权或其它知识产权的起诉。</w:t>
      </w:r>
    </w:p>
    <w:p>
      <w:pPr>
        <w:pStyle w:val="11"/>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10.报名人须具有有效的《企业营业执照》，如供应商为代理经销商，须提供供应商授权书。</w:t>
      </w:r>
    </w:p>
    <w:p>
      <w:pPr>
        <w:numPr>
          <w:ilvl w:val="0"/>
          <w:numId w:val="0"/>
        </w:numPr>
        <w:tabs>
          <w:tab w:val="left" w:pos="525"/>
        </w:tabs>
        <w:autoSpaceDE w:val="0"/>
        <w:autoSpaceDN w:val="0"/>
        <w:adjustRightInd w:val="0"/>
        <w:snapToGrid w:val="0"/>
        <w:spacing w:line="360" w:lineRule="auto"/>
        <w:outlineLvl w:val="1"/>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报名报价说明</w:t>
      </w:r>
    </w:p>
    <w:p>
      <w:pPr>
        <w:numPr>
          <w:ilvl w:val="0"/>
          <w:numId w:val="0"/>
        </w:numPr>
        <w:adjustRightInd w:val="0"/>
        <w:snapToGrid w:val="0"/>
        <w:spacing w:line="360" w:lineRule="auto"/>
        <w:ind w:left="479" w:leftChars="228" w:firstLine="0" w:firstLineChars="0"/>
        <w:rPr>
          <w:rFonts w:hint="eastAsia" w:ascii="宋体" w:hAnsi="宋体" w:cs="宋体"/>
          <w:sz w:val="24"/>
        </w:rPr>
      </w:pPr>
      <w:r>
        <w:rPr>
          <w:rFonts w:hint="eastAsia" w:ascii="宋体" w:hAnsi="宋体" w:cs="宋体"/>
          <w:sz w:val="24"/>
        </w:rPr>
        <w:t>报名价格包括：货款、质保期服务、各项税费及合同实施过程中不可预见费用等。</w:t>
      </w:r>
    </w:p>
    <w:p>
      <w:pPr>
        <w:pStyle w:val="2"/>
        <w:numPr>
          <w:ilvl w:val="0"/>
          <w:numId w:val="0"/>
        </w:numPr>
        <w:rPr>
          <w:rFonts w:hint="eastAsia"/>
        </w:rPr>
      </w:pPr>
    </w:p>
    <w:p>
      <w:pPr>
        <w:numPr>
          <w:ilvl w:val="0"/>
          <w:numId w:val="0"/>
        </w:numPr>
        <w:tabs>
          <w:tab w:val="left" w:pos="525"/>
        </w:tabs>
        <w:autoSpaceDE w:val="0"/>
        <w:autoSpaceDN w:val="0"/>
        <w:adjustRightInd w:val="0"/>
        <w:snapToGrid w:val="0"/>
        <w:spacing w:line="360" w:lineRule="auto"/>
        <w:ind w:leftChars="200"/>
        <w:outlineLvl w:val="1"/>
        <w:rPr>
          <w:rFonts w:hint="eastAsia" w:ascii="宋体" w:hAnsi="宋体" w:cs="宋体"/>
          <w:b/>
          <w:sz w:val="24"/>
          <w:lang w:val="zh-CN"/>
        </w:rPr>
      </w:pPr>
    </w:p>
    <w:p>
      <w:pPr>
        <w:numPr>
          <w:ilvl w:val="0"/>
          <w:numId w:val="0"/>
        </w:numPr>
        <w:tabs>
          <w:tab w:val="left" w:pos="525"/>
        </w:tabs>
        <w:autoSpaceDE w:val="0"/>
        <w:autoSpaceDN w:val="0"/>
        <w:adjustRightInd w:val="0"/>
        <w:snapToGrid w:val="0"/>
        <w:spacing w:line="360" w:lineRule="auto"/>
        <w:ind w:leftChars="200"/>
        <w:outlineLvl w:val="1"/>
        <w:rPr>
          <w:rFonts w:hint="eastAsia" w:ascii="宋体" w:hAnsi="宋体" w:cs="宋体"/>
          <w:b/>
          <w:sz w:val="24"/>
          <w:lang w:val="zh-CN"/>
        </w:rPr>
      </w:pPr>
    </w:p>
    <w:p>
      <w:pPr>
        <w:numPr>
          <w:ilvl w:val="0"/>
          <w:numId w:val="0"/>
        </w:numPr>
        <w:tabs>
          <w:tab w:val="left" w:pos="525"/>
        </w:tabs>
        <w:autoSpaceDE w:val="0"/>
        <w:autoSpaceDN w:val="0"/>
        <w:adjustRightInd w:val="0"/>
        <w:snapToGrid w:val="0"/>
        <w:spacing w:line="360" w:lineRule="auto"/>
        <w:ind w:leftChars="200"/>
        <w:outlineLvl w:val="1"/>
        <w:rPr>
          <w:rFonts w:ascii="宋体" w:hAnsi="宋体"/>
          <w:sz w:val="24"/>
        </w:rPr>
      </w:pPr>
      <w:bookmarkStart w:id="192" w:name="_GoBack"/>
      <w:bookmarkEnd w:id="192"/>
      <w:r>
        <w:rPr>
          <w:rFonts w:hint="eastAsia" w:ascii="宋体" w:hAnsi="宋体" w:cs="宋体"/>
          <w:b/>
          <w:sz w:val="24"/>
          <w:lang w:val="zh-CN"/>
        </w:rPr>
        <w:t>三、技术要求</w:t>
      </w:r>
    </w:p>
    <w:p>
      <w:pPr>
        <w:pStyle w:val="2"/>
        <w:rPr>
          <w:rFonts w:hint="default" w:eastAsia="宋体"/>
          <w:b w:val="0"/>
          <w:bCs/>
          <w:lang w:val="en-US" w:eastAsia="zh-CN"/>
        </w:rPr>
      </w:pPr>
      <w:r>
        <w:rPr>
          <w:rFonts w:hint="eastAsia" w:ascii="宋体" w:hAnsi="宋体" w:cs="宋体"/>
          <w:b w:val="0"/>
          <w:bCs/>
          <w:sz w:val="24"/>
          <w:lang w:val="en-US" w:eastAsia="zh-CN"/>
        </w:rPr>
        <w:t>1、数量：</w:t>
      </w:r>
    </w:p>
    <w:tbl>
      <w:tblPr>
        <w:tblStyle w:val="21"/>
        <w:tblW w:w="82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832"/>
        <w:gridCol w:w="214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92" w:type="dxa"/>
            <w:vAlign w:val="center"/>
          </w:tcPr>
          <w:p>
            <w:pPr>
              <w:widowControl w:val="0"/>
              <w:numPr>
                <w:ilvl w:val="0"/>
                <w:numId w:val="0"/>
              </w:numPr>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序号</w:t>
            </w:r>
          </w:p>
        </w:tc>
        <w:tc>
          <w:tcPr>
            <w:tcW w:w="2832" w:type="dxa"/>
            <w:vAlign w:val="center"/>
          </w:tcPr>
          <w:p>
            <w:pPr>
              <w:widowControl w:val="0"/>
              <w:numPr>
                <w:ilvl w:val="0"/>
                <w:numId w:val="0"/>
              </w:numPr>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类别</w:t>
            </w:r>
          </w:p>
        </w:tc>
        <w:tc>
          <w:tcPr>
            <w:tcW w:w="2148" w:type="dxa"/>
            <w:vAlign w:val="center"/>
          </w:tcPr>
          <w:p>
            <w:pPr>
              <w:widowControl w:val="0"/>
              <w:numPr>
                <w:ilvl w:val="0"/>
                <w:numId w:val="0"/>
              </w:numPr>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预估数量</w:t>
            </w:r>
          </w:p>
        </w:tc>
        <w:tc>
          <w:tcPr>
            <w:tcW w:w="2508" w:type="dxa"/>
            <w:vAlign w:val="center"/>
          </w:tcPr>
          <w:p>
            <w:pPr>
              <w:widowControl w:val="0"/>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92" w:type="dxa"/>
            <w:vAlign w:val="center"/>
          </w:tcPr>
          <w:p>
            <w:pPr>
              <w:widowControl w:val="0"/>
              <w:numPr>
                <w:ilvl w:val="0"/>
                <w:numId w:val="0"/>
              </w:numPr>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c>
          <w:tcPr>
            <w:tcW w:w="2832" w:type="dxa"/>
            <w:vAlign w:val="center"/>
          </w:tcPr>
          <w:p>
            <w:pPr>
              <w:widowControl w:val="0"/>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女护士鞋</w:t>
            </w:r>
          </w:p>
        </w:tc>
        <w:tc>
          <w:tcPr>
            <w:tcW w:w="2148" w:type="dxa"/>
            <w:vAlign w:val="center"/>
          </w:tcPr>
          <w:p>
            <w:pPr>
              <w:widowControl w:val="0"/>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667</w:t>
            </w:r>
          </w:p>
        </w:tc>
        <w:tc>
          <w:tcPr>
            <w:tcW w:w="2508" w:type="dxa"/>
            <w:vAlign w:val="center"/>
          </w:tcPr>
          <w:p>
            <w:pPr>
              <w:widowControl w:val="0"/>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92" w:type="dxa"/>
            <w:vAlign w:val="center"/>
          </w:tcPr>
          <w:p>
            <w:pPr>
              <w:widowControl w:val="0"/>
              <w:numPr>
                <w:ilvl w:val="0"/>
                <w:numId w:val="0"/>
              </w:numPr>
              <w:ind w:left="0" w:leftChars="0" w:firstLine="0" w:firstLineChars="0"/>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w:t>
            </w:r>
          </w:p>
        </w:tc>
        <w:tc>
          <w:tcPr>
            <w:tcW w:w="2832" w:type="dxa"/>
            <w:vAlign w:val="center"/>
          </w:tcPr>
          <w:p>
            <w:pPr>
              <w:widowControl w:val="0"/>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男护士鞋</w:t>
            </w:r>
          </w:p>
        </w:tc>
        <w:tc>
          <w:tcPr>
            <w:tcW w:w="2148" w:type="dxa"/>
            <w:vAlign w:val="center"/>
          </w:tcPr>
          <w:p>
            <w:pPr>
              <w:widowControl w:val="0"/>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cs="宋体"/>
                <w:b w:val="0"/>
                <w:bCs w:val="0"/>
                <w:kern w:val="2"/>
                <w:sz w:val="24"/>
                <w:szCs w:val="24"/>
                <w:vertAlign w:val="baseline"/>
                <w:lang w:val="en-US" w:eastAsia="zh-CN" w:bidi="ar-SA"/>
              </w:rPr>
              <w:t>47</w:t>
            </w:r>
          </w:p>
        </w:tc>
        <w:tc>
          <w:tcPr>
            <w:tcW w:w="2508" w:type="dxa"/>
            <w:vAlign w:val="center"/>
          </w:tcPr>
          <w:p>
            <w:pPr>
              <w:widowControl w:val="0"/>
              <w:numPr>
                <w:ilvl w:val="0"/>
                <w:numId w:val="0"/>
              </w:numPr>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双</w:t>
            </w:r>
          </w:p>
        </w:tc>
      </w:tr>
      <w:bookmarkEnd w:id="94"/>
    </w:tbl>
    <w:p>
      <w:pPr>
        <w:pStyle w:val="6"/>
        <w:ind w:firstLine="480" w:firstLineChars="200"/>
        <w:rPr>
          <w:rFonts w:ascii="宋体" w:hAnsi="宋体" w:cs="宋体"/>
          <w:sz w:val="24"/>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0" w:leftChars="0" w:right="0" w:rightChars="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产品符合行业最新标准QB/T2955-2017（休闲鞋）。制作材料都须采用无毒、无害、无污染的材料。</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0" w:leftChars="0" w:right="0" w:rightChars="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、帮面材质:优质软牛皮</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质地柔韧具有软硬兼顾,透气性强,舒适大方,易于打理等。牛皮厚度平均为1.6mm-1.7mm。</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0" w:leftChars="0" w:right="0" w:rightChars="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、内里：内里采用头层优质猪皮。猪皮纤维素粗壮，相互交织紧密，有较大的强度和耐磨性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经抗微生物处理，防臭、防霉、防菌、绿色环保。</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0" w:leftChars="0" w:right="0" w:rightChars="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、鞋垫：采用≥3.5mm天然乳胶海绵外贴头层猪皮垫面，有吸汗、舒适。脚弓处、脚掌部位特殊设计支撑位点及按摩凸点，以减轻足部疲劳。</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0" w:leftChars="0" w:right="0" w:rightChars="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、鞋底材质: 高分子弹性橡塑材料，</w:t>
      </w:r>
      <w:r>
        <w:rPr>
          <w:rFonts w:hint="eastAsia" w:ascii="宋体" w:hAnsi="宋体" w:cs="宋体"/>
          <w:b w:val="0"/>
          <w:bCs w:val="0"/>
          <w:color w:val="auto"/>
          <w:sz w:val="24"/>
          <w:szCs w:val="24"/>
          <w:lang w:val="en-US" w:eastAsia="zh-CN"/>
        </w:rPr>
        <w:t>具备缓震气垫，</w:t>
      </w:r>
      <w:r>
        <w:rPr>
          <w:rFonts w:hint="eastAsia" w:ascii="宋体" w:hAnsi="宋体" w:eastAsia="宋体" w:cs="宋体"/>
          <w:b w:val="0"/>
          <w:bCs w:val="0"/>
          <w:color w:val="auto"/>
          <w:sz w:val="24"/>
          <w:szCs w:val="24"/>
        </w:rPr>
        <w:t>缓震防滑。高度4.0</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0.5cm，耐磨，止滑，静音，超轻，弹性好</w:t>
      </w:r>
      <w:r>
        <w:rPr>
          <w:rFonts w:hint="eastAsia" w:ascii="宋体" w:hAnsi="宋体" w:cs="宋体"/>
          <w:b w:val="0"/>
          <w:bCs w:val="0"/>
          <w:color w:val="auto"/>
          <w:sz w:val="24"/>
          <w:szCs w:val="24"/>
          <w:lang w:eastAsia="zh-CN"/>
        </w:rPr>
        <w:t>，</w:t>
      </w:r>
      <w:r>
        <w:rPr>
          <w:rFonts w:hint="eastAsia" w:ascii="宋体" w:hAnsi="宋体" w:cs="宋体"/>
          <w:sz w:val="24"/>
        </w:rPr>
        <w:t>防液体渗透</w:t>
      </w:r>
      <w:r>
        <w:rPr>
          <w:rFonts w:hint="eastAsia" w:ascii="宋体" w:hAnsi="宋体" w:eastAsia="宋体" w:cs="宋体"/>
          <w:b w:val="0"/>
          <w:bCs w:val="0"/>
          <w:color w:val="auto"/>
          <w:sz w:val="24"/>
          <w:szCs w:val="24"/>
        </w:rPr>
        <w:t>。</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0" w:leftChars="0" w:right="0" w:rightChars="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、款式：颜色</w:t>
      </w:r>
      <w:r>
        <w:rPr>
          <w:rFonts w:hint="eastAsia" w:ascii="宋体" w:hAnsi="宋体" w:eastAsia="宋体" w:cs="宋体"/>
          <w:b w:val="0"/>
          <w:bCs w:val="0"/>
          <w:color w:val="auto"/>
          <w:sz w:val="24"/>
          <w:szCs w:val="24"/>
          <w:lang w:eastAsia="zh-CN"/>
        </w:rPr>
        <w:t>为</w:t>
      </w:r>
      <w:r>
        <w:rPr>
          <w:rFonts w:hint="eastAsia" w:ascii="宋体" w:hAnsi="宋体" w:eastAsia="宋体" w:cs="宋体"/>
          <w:b w:val="0"/>
          <w:bCs w:val="0"/>
          <w:color w:val="auto"/>
          <w:sz w:val="24"/>
          <w:szCs w:val="24"/>
        </w:rPr>
        <w:t>白色</w:t>
      </w:r>
      <w:r>
        <w:rPr>
          <w:rFonts w:hint="eastAsia" w:ascii="宋体" w:hAnsi="宋体" w:eastAsia="宋体" w:cs="宋体"/>
          <w:b w:val="0"/>
          <w:bCs w:val="0"/>
          <w:color w:val="auto"/>
          <w:sz w:val="24"/>
          <w:szCs w:val="24"/>
          <w:lang w:eastAsia="zh-CN"/>
        </w:rPr>
        <w:t>为主，</w:t>
      </w:r>
      <w:r>
        <w:rPr>
          <w:rFonts w:hint="eastAsia" w:ascii="宋体" w:hAnsi="宋体" w:eastAsia="宋体" w:cs="宋体"/>
          <w:b w:val="0"/>
          <w:bCs w:val="0"/>
          <w:color w:val="auto"/>
          <w:sz w:val="24"/>
          <w:szCs w:val="24"/>
        </w:rPr>
        <w:t>坡跟，圆头，无带，浅口，穿脱方便。</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0" w:leftChars="0" w:right="0" w:rightChars="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、鞋制作工艺：胶粘鞋，底边缝线。鞋底与鞋面针线缝制，预防开胶。</w:t>
      </w:r>
    </w:p>
    <w:p>
      <w:pPr>
        <w:spacing w:line="360" w:lineRule="auto"/>
        <w:ind w:left="399" w:leftChars="190" w:firstLine="0" w:firstLineChars="0"/>
        <w:rPr>
          <w:rFonts w:hint="eastAsia" w:ascii="宋体" w:hAnsi="宋体" w:eastAsia="宋体" w:cs="宋体"/>
          <w:color w:val="FF0000"/>
          <w:sz w:val="24"/>
        </w:rPr>
      </w:pPr>
      <w:r>
        <w:rPr>
          <w:rFonts w:hint="eastAsia" w:ascii="宋体" w:hAnsi="宋体" w:eastAsia="宋体" w:cs="宋体"/>
          <w:b w:val="0"/>
          <w:bCs w:val="0"/>
          <w:color w:val="FF0000"/>
          <w:sz w:val="24"/>
          <w:szCs w:val="24"/>
          <w:lang w:val="en-US" w:eastAsia="zh-CN"/>
        </w:rPr>
        <w:t>9</w:t>
      </w:r>
      <w:r>
        <w:rPr>
          <w:rFonts w:hint="eastAsia" w:ascii="宋体" w:hAnsi="宋体" w:eastAsia="宋体" w:cs="宋体"/>
          <w:b w:val="0"/>
          <w:bCs w:val="0"/>
          <w:color w:val="FF0000"/>
          <w:sz w:val="24"/>
          <w:szCs w:val="24"/>
        </w:rPr>
        <w:t>、实行三包（包修，包退，包换），</w:t>
      </w:r>
      <w:r>
        <w:rPr>
          <w:rFonts w:hint="eastAsia" w:ascii="宋体" w:hAnsi="宋体" w:eastAsia="宋体" w:cs="宋体"/>
          <w:b w:val="0"/>
          <w:bCs w:val="0"/>
          <w:color w:val="FF0000"/>
          <w:sz w:val="24"/>
          <w:szCs w:val="24"/>
          <w:lang w:val="en-US" w:eastAsia="zh-CN"/>
        </w:rPr>
        <w:t>报名供应商</w:t>
      </w:r>
      <w:r>
        <w:rPr>
          <w:rFonts w:hint="eastAsia" w:ascii="宋体" w:hAnsi="宋体" w:eastAsia="宋体" w:cs="宋体"/>
          <w:b w:val="0"/>
          <w:bCs w:val="0"/>
          <w:color w:val="FF0000"/>
          <w:sz w:val="24"/>
          <w:szCs w:val="24"/>
        </w:rPr>
        <w:t>对院</w:t>
      </w:r>
      <w:r>
        <w:rPr>
          <w:rFonts w:hint="eastAsia" w:ascii="宋体" w:hAnsi="宋体" w:eastAsia="宋体" w:cs="宋体"/>
          <w:b w:val="0"/>
          <w:bCs w:val="0"/>
          <w:color w:val="FF0000"/>
          <w:sz w:val="24"/>
          <w:szCs w:val="24"/>
          <w:lang w:val="en-US" w:eastAsia="zh-CN"/>
        </w:rPr>
        <w:t>方</w:t>
      </w:r>
      <w:r>
        <w:rPr>
          <w:rFonts w:hint="eastAsia" w:ascii="宋体" w:hAnsi="宋体" w:eastAsia="宋体" w:cs="宋体"/>
          <w:b w:val="0"/>
          <w:bCs w:val="0"/>
          <w:color w:val="FF0000"/>
          <w:sz w:val="24"/>
          <w:szCs w:val="24"/>
        </w:rPr>
        <w:t>购买的产品，在一年内因产品发生质量问题（如鞋底断裂，鞋面与鞋底脱胶，鞋面缝线断裂等产品瑕疵），要无条件退换。</w:t>
      </w:r>
    </w:p>
    <w:p>
      <w:pPr>
        <w:spacing w:line="360" w:lineRule="auto"/>
        <w:ind w:firstLine="600" w:firstLineChars="250"/>
        <w:rPr>
          <w:rFonts w:hint="eastAsia" w:ascii="宋体" w:hAnsi="宋体" w:cs="宋体"/>
          <w:sz w:val="24"/>
        </w:rPr>
      </w:pPr>
      <w:r>
        <w:rPr>
          <w:rFonts w:hint="eastAsia" w:ascii="宋体" w:hAnsi="宋体" w:cs="宋体"/>
          <w:sz w:val="24"/>
        </w:rPr>
        <w:t xml:space="preserve">   </w:t>
      </w:r>
    </w:p>
    <w:p>
      <w:pPr>
        <w:adjustRightInd w:val="0"/>
        <w:snapToGrid w:val="0"/>
        <w:spacing w:line="360" w:lineRule="auto"/>
        <w:rPr>
          <w:rFonts w:hint="eastAsia" w:ascii="宋体" w:hAnsi="宋体" w:cs="宋体"/>
          <w:b/>
          <w:sz w:val="24"/>
        </w:rPr>
      </w:pPr>
      <w:r>
        <w:rPr>
          <w:rFonts w:hint="eastAsia" w:ascii="宋体" w:hAnsi="宋体" w:cs="宋体"/>
          <w:b/>
          <w:sz w:val="24"/>
        </w:rPr>
        <w:t>四、商务要求</w:t>
      </w:r>
    </w:p>
    <w:p>
      <w:pPr>
        <w:pStyle w:val="2"/>
        <w:keepNext w:val="0"/>
        <w:keepLines w:val="0"/>
        <w:pageBreakBefore w:val="0"/>
        <w:widowControl/>
        <w:numPr>
          <w:ilvl w:val="0"/>
          <w:numId w:val="3"/>
        </w:numPr>
        <w:kinsoku/>
        <w:wordWrap/>
        <w:overflowPunct/>
        <w:topLinePunct w:val="0"/>
        <w:autoSpaceDE/>
        <w:autoSpaceDN/>
        <w:bidi w:val="0"/>
        <w:adjustRightInd/>
        <w:snapToGrid/>
        <w:spacing w:line="360" w:lineRule="auto"/>
        <w:ind w:firstLine="0" w:firstLineChars="0"/>
        <w:jc w:val="both"/>
        <w:textAlignment w:val="auto"/>
        <w:rPr>
          <w:rFonts w:hint="eastAsia" w:ascii="宋体"/>
          <w:sz w:val="24"/>
          <w:szCs w:val="24"/>
          <w:lang w:eastAsia="zh-CN"/>
        </w:rPr>
      </w:pPr>
      <w:r>
        <w:rPr>
          <w:rFonts w:hint="eastAsia" w:ascii="宋体" w:hAnsi="宋体"/>
          <w:sz w:val="24"/>
        </w:rPr>
        <w:t>自签订合同之日起，</w:t>
      </w:r>
      <w:r>
        <w:rPr>
          <w:rFonts w:hint="eastAsia" w:ascii="宋体" w:hAnsi="宋体" w:cs="宋体"/>
          <w:sz w:val="24"/>
        </w:rPr>
        <w:t>根据</w:t>
      </w:r>
      <w:r>
        <w:rPr>
          <w:rFonts w:hint="eastAsia" w:ascii="宋体" w:hAnsi="宋体" w:cs="宋体"/>
          <w:sz w:val="24"/>
          <w:lang w:val="en-US" w:eastAsia="zh-CN"/>
        </w:rPr>
        <w:t>院方</w:t>
      </w:r>
      <w:r>
        <w:rPr>
          <w:rFonts w:hint="eastAsia" w:ascii="宋体" w:hAnsi="宋体" w:cs="宋体"/>
          <w:sz w:val="24"/>
        </w:rPr>
        <w:t>的实际需要发起的采购订单，</w:t>
      </w:r>
      <w:r>
        <w:rPr>
          <w:rFonts w:hint="eastAsia" w:ascii="宋体" w:hAnsi="宋体" w:cs="宋体"/>
          <w:sz w:val="24"/>
          <w:lang w:val="en-US" w:eastAsia="zh-CN"/>
        </w:rPr>
        <w:t>成交供应商</w:t>
      </w:r>
      <w:r>
        <w:rPr>
          <w:rFonts w:hint="eastAsia" w:ascii="宋体" w:hAnsi="宋体" w:cs="宋体"/>
          <w:sz w:val="24"/>
        </w:rPr>
        <w:t>需在</w:t>
      </w:r>
      <w:r>
        <w:rPr>
          <w:rFonts w:hint="eastAsia" w:ascii="宋体" w:hAnsi="宋体" w:cs="宋体"/>
          <w:sz w:val="24"/>
          <w:u w:val="single"/>
        </w:rPr>
        <w:t xml:space="preserve"> </w:t>
      </w:r>
      <w:r>
        <w:rPr>
          <w:rFonts w:hint="eastAsia" w:ascii="宋体" w:hAnsi="宋体" w:cs="宋体"/>
          <w:sz w:val="24"/>
          <w:u w:val="single"/>
          <w:lang w:val="en-US" w:eastAsia="zh-CN"/>
        </w:rPr>
        <w:t>15</w:t>
      </w:r>
      <w:r>
        <w:rPr>
          <w:rFonts w:hint="eastAsia" w:ascii="宋体" w:hAnsi="宋体" w:cs="宋体"/>
          <w:sz w:val="24"/>
          <w:u w:val="single"/>
        </w:rPr>
        <w:t xml:space="preserve"> </w:t>
      </w:r>
      <w:r>
        <w:rPr>
          <w:rFonts w:hint="eastAsia" w:ascii="宋体" w:hAnsi="宋体" w:cs="宋体"/>
          <w:sz w:val="24"/>
        </w:rPr>
        <w:t>个工作日内完成货物的交货</w:t>
      </w:r>
      <w:r>
        <w:rPr>
          <w:rFonts w:hint="eastAsia" w:ascii="宋体" w:hAnsi="宋体" w:cs="宋体"/>
          <w:sz w:val="24"/>
          <w:lang w:eastAsia="zh-CN"/>
        </w:rPr>
        <w:t>。</w:t>
      </w:r>
    </w:p>
    <w:p>
      <w:pPr>
        <w:pStyle w:val="2"/>
        <w:keepNext w:val="0"/>
        <w:keepLines w:val="0"/>
        <w:pageBreakBefore w:val="0"/>
        <w:widowControl/>
        <w:numPr>
          <w:ilvl w:val="0"/>
          <w:numId w:val="3"/>
        </w:numPr>
        <w:kinsoku/>
        <w:wordWrap/>
        <w:overflowPunct/>
        <w:topLinePunct w:val="0"/>
        <w:autoSpaceDE/>
        <w:autoSpaceDN/>
        <w:bidi w:val="0"/>
        <w:adjustRightInd/>
        <w:snapToGrid/>
        <w:spacing w:line="360" w:lineRule="auto"/>
        <w:ind w:firstLine="0" w:firstLineChars="0"/>
        <w:jc w:val="both"/>
        <w:textAlignment w:val="auto"/>
        <w:rPr>
          <w:rFonts w:hint="eastAsia" w:ascii="宋体"/>
          <w:sz w:val="24"/>
          <w:szCs w:val="24"/>
          <w:lang w:eastAsia="zh-CN"/>
        </w:rPr>
      </w:pPr>
      <w:r>
        <w:rPr>
          <w:rFonts w:hint="eastAsia" w:ascii="宋体"/>
          <w:sz w:val="24"/>
          <w:szCs w:val="24"/>
          <w:lang w:eastAsia="zh-CN"/>
        </w:rPr>
        <w:t>货物</w:t>
      </w:r>
      <w:r>
        <w:rPr>
          <w:rFonts w:hint="eastAsia" w:ascii="宋体"/>
          <w:sz w:val="24"/>
          <w:szCs w:val="24"/>
        </w:rPr>
        <w:t>提供的地点</w:t>
      </w:r>
      <w:r>
        <w:rPr>
          <w:rFonts w:hint="eastAsia" w:ascii="宋体"/>
          <w:sz w:val="24"/>
          <w:szCs w:val="24"/>
          <w:lang w:eastAsia="zh-CN"/>
        </w:rPr>
        <w:t>：</w:t>
      </w:r>
      <w:r>
        <w:rPr>
          <w:rFonts w:hint="eastAsia" w:ascii="宋体"/>
          <w:sz w:val="24"/>
          <w:szCs w:val="24"/>
          <w:lang w:val="en-US" w:eastAsia="zh-CN"/>
        </w:rPr>
        <w:t>院方</w:t>
      </w:r>
      <w:r>
        <w:rPr>
          <w:rFonts w:hint="eastAsia" w:ascii="宋体"/>
          <w:sz w:val="24"/>
          <w:szCs w:val="24"/>
          <w:lang w:eastAsia="zh-CN"/>
        </w:rPr>
        <w:t>指定的地点。</w:t>
      </w:r>
    </w:p>
    <w:p>
      <w:pPr>
        <w:pStyle w:val="2"/>
        <w:keepNext w:val="0"/>
        <w:keepLines w:val="0"/>
        <w:pageBreakBefore w:val="0"/>
        <w:widowControl/>
        <w:numPr>
          <w:ilvl w:val="0"/>
          <w:numId w:val="3"/>
        </w:numPr>
        <w:kinsoku/>
        <w:wordWrap/>
        <w:overflowPunct/>
        <w:topLinePunct w:val="0"/>
        <w:autoSpaceDE/>
        <w:autoSpaceDN/>
        <w:bidi w:val="0"/>
        <w:adjustRightInd/>
        <w:snapToGrid/>
        <w:spacing w:line="360" w:lineRule="auto"/>
        <w:ind w:firstLine="0" w:firstLineChars="0"/>
        <w:jc w:val="both"/>
        <w:textAlignment w:val="auto"/>
        <w:rPr>
          <w:rFonts w:hint="eastAsia"/>
        </w:rPr>
      </w:pPr>
      <w:r>
        <w:rPr>
          <w:rFonts w:hint="eastAsia" w:ascii="宋体"/>
          <w:sz w:val="24"/>
          <w:szCs w:val="24"/>
        </w:rPr>
        <w:t>付款方式</w:t>
      </w:r>
      <w:r>
        <w:rPr>
          <w:rFonts w:hint="eastAsia" w:ascii="宋体"/>
          <w:sz w:val="24"/>
          <w:szCs w:val="24"/>
          <w:lang w:eastAsia="zh-CN"/>
        </w:rPr>
        <w:t>：</w:t>
      </w:r>
      <w:r>
        <w:rPr>
          <w:rFonts w:hint="eastAsia" w:ascii="宋体" w:hAnsi="宋体" w:eastAsia="宋体" w:cs="宋体"/>
          <w:sz w:val="24"/>
          <w:szCs w:val="24"/>
        </w:rPr>
        <w:t>以</w:t>
      </w:r>
      <w:r>
        <w:rPr>
          <w:rFonts w:hint="eastAsia" w:ascii="宋体" w:hAnsi="宋体" w:eastAsia="宋体" w:cs="宋体"/>
          <w:sz w:val="24"/>
          <w:szCs w:val="24"/>
          <w:lang w:val="en-US" w:eastAsia="zh-CN"/>
        </w:rPr>
        <w:t>一次性支付</w:t>
      </w:r>
      <w:r>
        <w:rPr>
          <w:rFonts w:hint="eastAsia" w:ascii="宋体" w:hAnsi="宋体" w:eastAsia="宋体" w:cs="宋体"/>
          <w:sz w:val="24"/>
          <w:szCs w:val="24"/>
        </w:rPr>
        <w:t>方式结算。</w:t>
      </w:r>
      <w:r>
        <w:rPr>
          <w:rFonts w:hint="eastAsia" w:ascii="宋体" w:hAnsi="宋体" w:eastAsia="宋体" w:cs="宋体"/>
          <w:sz w:val="24"/>
          <w:szCs w:val="24"/>
          <w:lang w:val="en-US" w:eastAsia="zh-CN"/>
        </w:rPr>
        <w:t>报名供应商</w:t>
      </w:r>
      <w:r>
        <w:rPr>
          <w:rFonts w:hint="eastAsia" w:ascii="宋体" w:hAnsi="宋体" w:eastAsia="宋体" w:cs="宋体"/>
          <w:sz w:val="24"/>
          <w:szCs w:val="24"/>
        </w:rPr>
        <w:t>须于</w:t>
      </w:r>
      <w:r>
        <w:rPr>
          <w:rFonts w:hint="eastAsia" w:ascii="宋体" w:hAnsi="宋体" w:eastAsia="宋体" w:cs="宋体"/>
          <w:sz w:val="24"/>
          <w:szCs w:val="24"/>
          <w:lang w:val="en-US" w:eastAsia="zh-CN"/>
        </w:rPr>
        <w:t>供货后</w:t>
      </w:r>
      <w:r>
        <w:rPr>
          <w:rFonts w:hint="eastAsia" w:ascii="宋体" w:hAnsi="宋体" w:eastAsia="宋体" w:cs="宋体"/>
          <w:sz w:val="24"/>
          <w:szCs w:val="24"/>
        </w:rPr>
        <w:t>的20日前将当期的供货清单交由</w:t>
      </w:r>
      <w:r>
        <w:rPr>
          <w:rFonts w:hint="eastAsia" w:ascii="宋体" w:hAnsi="宋体" w:eastAsia="宋体" w:cs="宋体"/>
          <w:sz w:val="24"/>
          <w:szCs w:val="24"/>
          <w:lang w:val="en-US" w:eastAsia="zh-CN"/>
        </w:rPr>
        <w:t>院方</w:t>
      </w:r>
      <w:r>
        <w:rPr>
          <w:rFonts w:hint="eastAsia" w:ascii="宋体" w:hAnsi="宋体" w:eastAsia="宋体" w:cs="宋体"/>
          <w:sz w:val="24"/>
          <w:szCs w:val="24"/>
        </w:rPr>
        <w:t>审核，</w:t>
      </w:r>
      <w:r>
        <w:rPr>
          <w:rFonts w:hint="eastAsia" w:ascii="宋体" w:hAnsi="宋体" w:eastAsia="宋体" w:cs="宋体"/>
          <w:sz w:val="24"/>
          <w:szCs w:val="24"/>
          <w:lang w:val="en-US" w:eastAsia="zh-CN"/>
        </w:rPr>
        <w:t>院方</w:t>
      </w:r>
      <w:r>
        <w:rPr>
          <w:rFonts w:hint="eastAsia" w:ascii="宋体" w:hAnsi="宋体" w:eastAsia="宋体" w:cs="宋体"/>
          <w:sz w:val="24"/>
          <w:szCs w:val="24"/>
        </w:rPr>
        <w:t>确认数量之日起60个工作日内申请</w:t>
      </w:r>
      <w:r>
        <w:rPr>
          <w:rFonts w:hint="eastAsia" w:ascii="宋体" w:hAnsi="宋体" w:eastAsia="宋体" w:cs="宋体"/>
          <w:sz w:val="24"/>
          <w:szCs w:val="24"/>
          <w:lang w:val="en-US" w:eastAsia="zh-CN"/>
        </w:rPr>
        <w:t>财务</w:t>
      </w:r>
      <w:r>
        <w:rPr>
          <w:rFonts w:hint="eastAsia" w:ascii="宋体" w:hAnsi="宋体" w:eastAsia="宋体" w:cs="宋体"/>
          <w:sz w:val="24"/>
          <w:szCs w:val="24"/>
        </w:rPr>
        <w:t>部门办理结算</w:t>
      </w:r>
      <w:r>
        <w:rPr>
          <w:rFonts w:hint="eastAsia" w:ascii="宋体" w:hAnsi="宋体" w:eastAsia="宋体" w:cs="宋体"/>
          <w:sz w:val="24"/>
          <w:szCs w:val="24"/>
          <w:lang w:val="en-US" w:eastAsia="zh-CN"/>
        </w:rPr>
        <w:t>手续。</w:t>
      </w:r>
    </w:p>
    <w:p>
      <w:pPr>
        <w:pageBreakBefore w:val="0"/>
        <w:kinsoku/>
        <w:wordWrap/>
        <w:overflowPunct/>
        <w:topLinePunct w:val="0"/>
        <w:bidi w:val="0"/>
        <w:adjustRightInd w:val="0"/>
        <w:snapToGrid w:val="0"/>
        <w:spacing w:line="360" w:lineRule="auto"/>
        <w:ind w:right="0" w:rightChars="0"/>
        <w:rPr>
          <w:rFonts w:hint="eastAsia" w:ascii="宋体" w:hAnsi="宋体" w:eastAsia="宋体" w:cs="宋体"/>
          <w:b/>
          <w:bCs/>
          <w:color w:val="auto"/>
          <w:sz w:val="24"/>
          <w:szCs w:val="24"/>
          <w:lang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eastAsia="zh-CN"/>
        </w:rPr>
        <w:t>货物</w:t>
      </w:r>
      <w:r>
        <w:rPr>
          <w:rFonts w:hint="eastAsia" w:ascii="宋体" w:hAnsi="宋体" w:cs="宋体"/>
          <w:b w:val="0"/>
          <w:bCs w:val="0"/>
          <w:color w:val="auto"/>
          <w:sz w:val="24"/>
          <w:szCs w:val="24"/>
        </w:rPr>
        <w:t>的验收</w:t>
      </w:r>
      <w:r>
        <w:rPr>
          <w:rFonts w:hint="eastAsia" w:ascii="宋体" w:hAnsi="宋体" w:cs="宋体"/>
          <w:b w:val="0"/>
          <w:bCs w:val="0"/>
          <w:color w:val="auto"/>
          <w:sz w:val="24"/>
          <w:szCs w:val="24"/>
          <w:lang w:eastAsia="zh-CN"/>
        </w:rPr>
        <w:t>：</w:t>
      </w: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rPr>
        <w:t>（1）合同</w:t>
      </w:r>
      <w:r>
        <w:rPr>
          <w:rFonts w:hint="eastAsia" w:ascii="宋体" w:hAnsi="宋体" w:cs="宋体"/>
          <w:color w:val="auto"/>
          <w:sz w:val="24"/>
          <w:szCs w:val="24"/>
          <w:lang w:eastAsia="zh-CN"/>
        </w:rPr>
        <w:t>货物</w:t>
      </w:r>
      <w:r>
        <w:rPr>
          <w:rFonts w:hint="eastAsia" w:ascii="宋体" w:hAnsi="宋体" w:cs="宋体"/>
          <w:color w:val="auto"/>
          <w:sz w:val="24"/>
          <w:szCs w:val="24"/>
        </w:rPr>
        <w:t>齐全后</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个工作日内验</w:t>
      </w:r>
      <w:r>
        <w:rPr>
          <w:rFonts w:hint="eastAsia" w:ascii="宋体" w:hAnsi="宋体" w:cs="宋体"/>
          <w:color w:val="auto"/>
          <w:sz w:val="24"/>
          <w:szCs w:val="24"/>
        </w:rPr>
        <w:t>收，验收应在双方共同参加下进行。</w:t>
      </w: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rPr>
        <w:t>（2）验收按国家有关的规定、规范进行。验收时如发现所交付的</w:t>
      </w:r>
      <w:r>
        <w:rPr>
          <w:rFonts w:hint="eastAsia" w:ascii="宋体" w:hAnsi="宋体" w:cs="宋体"/>
          <w:color w:val="auto"/>
          <w:sz w:val="24"/>
          <w:szCs w:val="24"/>
          <w:lang w:eastAsia="zh-CN"/>
        </w:rPr>
        <w:t>货物</w:t>
      </w:r>
      <w:r>
        <w:rPr>
          <w:rFonts w:hint="eastAsia" w:ascii="宋体" w:hAnsi="宋体" w:cs="宋体"/>
          <w:color w:val="auto"/>
          <w:sz w:val="24"/>
          <w:szCs w:val="24"/>
        </w:rPr>
        <w:t>有短装、次品、损坏或其它不符合本合同规定之情形者，</w:t>
      </w:r>
      <w:r>
        <w:rPr>
          <w:rFonts w:hint="eastAsia" w:ascii="宋体" w:hAnsi="宋体" w:cs="宋体"/>
          <w:color w:val="auto"/>
          <w:sz w:val="24"/>
          <w:szCs w:val="24"/>
          <w:lang w:val="en-US" w:eastAsia="zh-CN"/>
        </w:rPr>
        <w:t>院方</w:t>
      </w:r>
      <w:r>
        <w:rPr>
          <w:rFonts w:hint="eastAsia" w:ascii="宋体" w:hAnsi="宋体" w:cs="宋体"/>
          <w:color w:val="auto"/>
          <w:sz w:val="24"/>
          <w:szCs w:val="24"/>
        </w:rPr>
        <w:t>应作出详尽的现场记录</w:t>
      </w:r>
      <w:r>
        <w:rPr>
          <w:rFonts w:hint="eastAsia" w:ascii="宋体" w:hAnsi="宋体" w:cs="宋体"/>
          <w:color w:val="auto"/>
          <w:sz w:val="24"/>
          <w:szCs w:val="24"/>
          <w:lang w:eastAsia="zh-CN"/>
        </w:rPr>
        <w:t>或</w:t>
      </w:r>
      <w:r>
        <w:rPr>
          <w:rFonts w:hint="eastAsia" w:ascii="宋体" w:hAnsi="宋体" w:cs="宋体"/>
          <w:color w:val="auto"/>
          <w:sz w:val="24"/>
          <w:szCs w:val="24"/>
        </w:rPr>
        <w:t>签署备忘录。此现场记录或备忘录可用作补充、缺失的有效证据</w:t>
      </w:r>
      <w:r>
        <w:rPr>
          <w:rFonts w:hint="eastAsia" w:ascii="宋体" w:hAnsi="宋体" w:cs="宋体"/>
          <w:color w:val="auto"/>
          <w:sz w:val="24"/>
          <w:szCs w:val="24"/>
          <w:lang w:eastAsia="zh-CN"/>
        </w:rPr>
        <w:t>，</w:t>
      </w:r>
      <w:r>
        <w:rPr>
          <w:rFonts w:hint="eastAsia" w:ascii="宋体" w:hAnsi="宋体" w:cs="宋体"/>
          <w:color w:val="auto"/>
          <w:sz w:val="24"/>
          <w:szCs w:val="24"/>
        </w:rPr>
        <w:t>由此产生的有关费用由</w:t>
      </w:r>
      <w:r>
        <w:rPr>
          <w:rFonts w:hint="eastAsia" w:ascii="宋体" w:hAnsi="宋体" w:cs="宋体"/>
          <w:color w:val="auto"/>
          <w:sz w:val="24"/>
          <w:szCs w:val="24"/>
          <w:lang w:val="en-US" w:eastAsia="zh-CN"/>
        </w:rPr>
        <w:t>报名供应商</w:t>
      </w:r>
      <w:r>
        <w:rPr>
          <w:rFonts w:hint="eastAsia" w:ascii="宋体" w:hAnsi="宋体" w:cs="宋体"/>
          <w:color w:val="auto"/>
          <w:sz w:val="24"/>
          <w:szCs w:val="24"/>
        </w:rPr>
        <w:t>承担。</w:t>
      </w: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rPr>
        <w:t>（3）如果合同</w:t>
      </w:r>
      <w:r>
        <w:rPr>
          <w:rFonts w:hint="eastAsia" w:ascii="宋体" w:hAnsi="宋体" w:cs="宋体"/>
          <w:color w:val="auto"/>
          <w:sz w:val="24"/>
          <w:szCs w:val="24"/>
          <w:lang w:eastAsia="zh-CN"/>
        </w:rPr>
        <w:t>货物</w:t>
      </w:r>
      <w:r>
        <w:rPr>
          <w:rFonts w:hint="eastAsia" w:ascii="宋体" w:hAnsi="宋体" w:cs="宋体"/>
          <w:color w:val="auto"/>
          <w:sz w:val="24"/>
          <w:szCs w:val="24"/>
        </w:rPr>
        <w:t>运输因事故造成货物短缺、损坏，</w:t>
      </w:r>
      <w:r>
        <w:rPr>
          <w:rFonts w:hint="eastAsia" w:ascii="宋体" w:hAnsi="宋体" w:cs="宋体"/>
          <w:color w:val="auto"/>
          <w:sz w:val="24"/>
          <w:szCs w:val="24"/>
          <w:lang w:eastAsia="zh-CN"/>
        </w:rPr>
        <w:t>成交</w:t>
      </w:r>
      <w:r>
        <w:rPr>
          <w:rFonts w:hint="eastAsia" w:ascii="宋体" w:hAnsi="宋体" w:cs="宋体"/>
          <w:color w:val="auto"/>
          <w:sz w:val="24"/>
          <w:szCs w:val="24"/>
        </w:rPr>
        <w:t>应及时安排换装。换货的相关费用由</w:t>
      </w:r>
      <w:r>
        <w:rPr>
          <w:rFonts w:hint="eastAsia" w:ascii="宋体" w:hAnsi="宋体" w:cs="宋体"/>
          <w:color w:val="auto"/>
          <w:sz w:val="24"/>
          <w:szCs w:val="24"/>
          <w:lang w:val="en-US" w:eastAsia="zh-CN"/>
        </w:rPr>
        <w:t>报名供应商</w:t>
      </w:r>
      <w:r>
        <w:rPr>
          <w:rFonts w:hint="eastAsia" w:ascii="宋体" w:hAnsi="宋体" w:cs="宋体"/>
          <w:color w:val="auto"/>
          <w:sz w:val="24"/>
          <w:szCs w:val="24"/>
        </w:rPr>
        <w:t>承担。</w:t>
      </w:r>
    </w:p>
    <w:p>
      <w:pPr>
        <w:pStyle w:val="13"/>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（4）</w:t>
      </w:r>
      <w:r>
        <w:rPr>
          <w:rFonts w:hint="eastAsia" w:ascii="宋体" w:hAnsi="宋体" w:cs="宋体"/>
          <w:color w:val="auto"/>
          <w:sz w:val="24"/>
          <w:szCs w:val="24"/>
          <w:lang w:eastAsia="zh-CN"/>
        </w:rPr>
        <w:t>成交</w:t>
      </w:r>
      <w:r>
        <w:rPr>
          <w:rFonts w:hint="eastAsia" w:ascii="宋体" w:hAnsi="宋体" w:cs="宋体"/>
          <w:color w:val="auto"/>
          <w:sz w:val="24"/>
          <w:szCs w:val="24"/>
        </w:rPr>
        <w:t>保证合同项下提供的</w:t>
      </w:r>
      <w:r>
        <w:rPr>
          <w:rFonts w:hint="eastAsia" w:ascii="宋体" w:hAnsi="宋体" w:cs="宋体"/>
          <w:color w:val="auto"/>
          <w:sz w:val="24"/>
          <w:szCs w:val="24"/>
          <w:lang w:eastAsia="zh-CN"/>
        </w:rPr>
        <w:t>货物</w:t>
      </w:r>
      <w:r>
        <w:rPr>
          <w:rFonts w:hint="eastAsia" w:ascii="宋体" w:hAnsi="宋体" w:cs="宋体"/>
          <w:color w:val="auto"/>
          <w:sz w:val="24"/>
          <w:szCs w:val="24"/>
        </w:rPr>
        <w:t>不侵犯任何第三方的专利、商标或版权。否则，</w:t>
      </w:r>
      <w:r>
        <w:rPr>
          <w:rFonts w:hint="eastAsia" w:ascii="宋体" w:hAnsi="宋体" w:cs="宋体"/>
          <w:color w:val="auto"/>
          <w:sz w:val="24"/>
          <w:szCs w:val="24"/>
          <w:lang w:val="en-US" w:eastAsia="zh-CN"/>
        </w:rPr>
        <w:t>报名供应商</w:t>
      </w:r>
      <w:r>
        <w:rPr>
          <w:rFonts w:hint="eastAsia" w:ascii="宋体" w:hAnsi="宋体" w:cs="宋体"/>
          <w:color w:val="auto"/>
          <w:sz w:val="24"/>
          <w:szCs w:val="24"/>
        </w:rPr>
        <w:t>须承担对第三方的专利或版权的侵权责任并承担因此而发生的所有费用。</w:t>
      </w:r>
      <w:r>
        <w:rPr>
          <w:rFonts w:hint="eastAsia" w:ascii="宋体" w:hAnsi="宋体" w:cs="宋体"/>
          <w:color w:val="auto"/>
          <w:sz w:val="24"/>
          <w:szCs w:val="24"/>
          <w:lang w:val="en-US" w:eastAsia="zh-CN"/>
        </w:rPr>
        <w:t xml:space="preserve"> </w:t>
      </w:r>
    </w:p>
    <w:p>
      <w:pPr>
        <w:pageBreakBefore w:val="0"/>
        <w:kinsoku/>
        <w:wordWrap/>
        <w:overflowPunct/>
        <w:topLinePunct w:val="0"/>
        <w:bidi w:val="0"/>
        <w:adjustRightInd w:val="0"/>
        <w:snapToGrid w:val="0"/>
        <w:spacing w:line="360" w:lineRule="auto"/>
        <w:ind w:right="0" w:rightChars="0"/>
        <w:rPr>
          <w:rFonts w:hint="eastAsia" w:ascii="宋体" w:hAnsi="宋体" w:cs="宋体"/>
          <w:b w:val="0"/>
          <w:bCs/>
          <w:color w:val="auto"/>
          <w:sz w:val="24"/>
          <w:szCs w:val="24"/>
        </w:rPr>
      </w:pPr>
      <w:r>
        <w:rPr>
          <w:rFonts w:hint="eastAsia" w:ascii="宋体" w:hAnsi="宋体" w:cs="宋体"/>
          <w:b w:val="0"/>
          <w:bCs/>
          <w:color w:val="auto"/>
          <w:sz w:val="24"/>
          <w:szCs w:val="24"/>
        </w:rPr>
        <w:t>5</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rPr>
        <w:t>质量保证及售后服务</w:t>
      </w: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成交</w:t>
      </w:r>
      <w:r>
        <w:rPr>
          <w:rFonts w:hint="eastAsia" w:ascii="宋体" w:hAnsi="宋体" w:cs="宋体"/>
          <w:color w:val="auto"/>
          <w:sz w:val="24"/>
          <w:szCs w:val="24"/>
        </w:rPr>
        <w:t>保证合同</w:t>
      </w:r>
      <w:r>
        <w:rPr>
          <w:rFonts w:hint="eastAsia" w:ascii="宋体" w:hAnsi="宋体" w:cs="宋体"/>
          <w:color w:val="auto"/>
          <w:sz w:val="24"/>
          <w:szCs w:val="24"/>
          <w:lang w:eastAsia="zh-CN"/>
        </w:rPr>
        <w:t>货物</w:t>
      </w:r>
      <w:r>
        <w:rPr>
          <w:rFonts w:hint="eastAsia" w:ascii="宋体" w:hAnsi="宋体" w:cs="宋体"/>
          <w:color w:val="auto"/>
          <w:sz w:val="24"/>
          <w:szCs w:val="24"/>
        </w:rPr>
        <w:t>是全新、未曾使用过的，必须是最新有效期之内生产，其质量、规格符合合同的要求。</w:t>
      </w: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rPr>
        <w:t>（2）因</w:t>
      </w:r>
      <w:r>
        <w:rPr>
          <w:rFonts w:hint="eastAsia" w:ascii="宋体" w:hAnsi="宋体" w:cs="宋体"/>
          <w:color w:val="auto"/>
          <w:sz w:val="24"/>
          <w:szCs w:val="24"/>
          <w:lang w:eastAsia="zh-CN"/>
        </w:rPr>
        <w:t>货物</w:t>
      </w:r>
      <w:r>
        <w:rPr>
          <w:rFonts w:hint="eastAsia" w:ascii="宋体" w:hAnsi="宋体" w:cs="宋体"/>
          <w:color w:val="auto"/>
          <w:sz w:val="24"/>
          <w:szCs w:val="24"/>
        </w:rPr>
        <w:t>的质量问题而发生争议，由具备资质的第三方质检部门进行质量鉴定。</w:t>
      </w:r>
      <w:r>
        <w:rPr>
          <w:rFonts w:hint="eastAsia" w:ascii="宋体" w:hAnsi="宋体" w:cs="宋体"/>
          <w:color w:val="auto"/>
          <w:sz w:val="24"/>
          <w:szCs w:val="24"/>
          <w:lang w:eastAsia="zh-CN"/>
        </w:rPr>
        <w:t>货物</w:t>
      </w:r>
      <w:r>
        <w:rPr>
          <w:rFonts w:hint="eastAsia" w:ascii="宋体" w:hAnsi="宋体" w:cs="宋体"/>
          <w:color w:val="auto"/>
          <w:sz w:val="24"/>
          <w:szCs w:val="24"/>
        </w:rPr>
        <w:t>符合质量标准的，鉴定费用由</w:t>
      </w:r>
      <w:r>
        <w:rPr>
          <w:rFonts w:hint="eastAsia" w:ascii="宋体" w:hAnsi="宋体" w:cs="宋体"/>
          <w:color w:val="auto"/>
          <w:sz w:val="24"/>
          <w:szCs w:val="24"/>
          <w:lang w:val="en-US" w:eastAsia="zh-CN"/>
        </w:rPr>
        <w:t>院方</w:t>
      </w:r>
      <w:r>
        <w:rPr>
          <w:rFonts w:hint="eastAsia" w:ascii="宋体" w:hAnsi="宋体" w:cs="宋体"/>
          <w:color w:val="auto"/>
          <w:sz w:val="24"/>
          <w:szCs w:val="24"/>
        </w:rPr>
        <w:t>承担；</w:t>
      </w:r>
      <w:r>
        <w:rPr>
          <w:rFonts w:hint="eastAsia" w:ascii="宋体" w:hAnsi="宋体" w:cs="宋体"/>
          <w:color w:val="auto"/>
          <w:sz w:val="24"/>
          <w:szCs w:val="24"/>
          <w:lang w:eastAsia="zh-CN"/>
        </w:rPr>
        <w:t>货物</w:t>
      </w:r>
      <w:r>
        <w:rPr>
          <w:rFonts w:hint="eastAsia" w:ascii="宋体" w:hAnsi="宋体" w:cs="宋体"/>
          <w:color w:val="auto"/>
          <w:sz w:val="24"/>
          <w:szCs w:val="24"/>
        </w:rPr>
        <w:t>不符合质量标准的，鉴定费用由</w:t>
      </w:r>
      <w:r>
        <w:rPr>
          <w:rFonts w:hint="eastAsia" w:ascii="宋体" w:hAnsi="宋体" w:cs="宋体"/>
          <w:color w:val="auto"/>
          <w:sz w:val="24"/>
          <w:szCs w:val="24"/>
          <w:lang w:val="en-US" w:eastAsia="zh-CN"/>
        </w:rPr>
        <w:t>报名供应商</w:t>
      </w:r>
      <w:r>
        <w:rPr>
          <w:rFonts w:hint="eastAsia" w:ascii="宋体" w:hAnsi="宋体" w:cs="宋体"/>
          <w:color w:val="auto"/>
          <w:sz w:val="24"/>
          <w:szCs w:val="24"/>
        </w:rPr>
        <w:t>承担。</w:t>
      </w: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ind w:firstLine="602" w:firstLineChars="200"/>
        <w:jc w:val="left"/>
        <w:rPr>
          <w:b/>
          <w:bCs/>
          <w:color w:val="000000" w:themeColor="text1"/>
          <w:sz w:val="30"/>
          <w14:textFill>
            <w14:solidFill>
              <w14:schemeClr w14:val="tx1"/>
            </w14:solidFill>
          </w14:textFill>
        </w:rPr>
      </w:pPr>
      <w:bookmarkStart w:id="108" w:name="_Toc50691027"/>
      <w:bookmarkStart w:id="109" w:name="_Toc43264515"/>
      <w:bookmarkStart w:id="110"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7"/>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1"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8"/>
    <w:bookmarkEnd w:id="109"/>
    <w:bookmarkEnd w:id="110"/>
    <w:bookmarkEnd w:id="111"/>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2" w:name="_Toc17648"/>
      <w:bookmarkStart w:id="113"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2"/>
      <w:bookmarkEnd w:id="113"/>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4" w:name="_Toc7711"/>
      <w:bookmarkStart w:id="115"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4"/>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5"/>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6"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6"/>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7"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7"/>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8" w:name="_Toc17574"/>
      <w:bookmarkStart w:id="119"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8"/>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9"/>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20" w:name="_Toc15345"/>
      <w:bookmarkStart w:id="121"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20"/>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2" w:name="_Toc385940900"/>
      <w:bookmarkStart w:id="123" w:name="_Toc52165083"/>
      <w:bookmarkStart w:id="124" w:name="_Toc50737325"/>
      <w:bookmarkStart w:id="125" w:name="_Toc50737331"/>
      <w:bookmarkStart w:id="126" w:name="_Toc50736473"/>
      <w:bookmarkStart w:id="127" w:name="_Toc76354927"/>
      <w:bookmarkStart w:id="128" w:name="_Toc50737293"/>
      <w:bookmarkStart w:id="129" w:name="_Toc50691040"/>
      <w:bookmarkStart w:id="130" w:name="_Toc52165077"/>
      <w:bookmarkStart w:id="131" w:name="_Toc50736479"/>
      <w:bookmarkStart w:id="132" w:name="_Toc50737299"/>
      <w:bookmarkStart w:id="133" w:name="_Toc76354921"/>
      <w:bookmarkStart w:id="134" w:name="_Toc50691028"/>
      <w:r>
        <w:rPr>
          <w:rFonts w:ascii="Times New Roman" w:hAnsi="Times New Roman" w:eastAsia="宋体" w:cs="Times New Roman"/>
          <w:b/>
          <w:bCs/>
          <w:color w:val="000000" w:themeColor="text1"/>
          <w:sz w:val="30"/>
          <w:szCs w:val="30"/>
          <w14:textFill>
            <w14:solidFill>
              <w14:schemeClr w14:val="tx1"/>
            </w14:solidFill>
          </w14:textFill>
        </w:rPr>
        <w:t>报名函</w:t>
      </w:r>
      <w:bookmarkEnd w:id="122"/>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4"/>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4"/>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4"/>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4"/>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4"/>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4"/>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4"/>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4"/>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1"/>
      <w:bookmarkStart w:id="135" w:name="_Toc15132"/>
      <w:bookmarkStart w:id="136"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5"/>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7"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7"/>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5"/>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5"/>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5"/>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5"/>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5"/>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5"/>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6"/>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8" w:name="_Toc614"/>
      <w:bookmarkStart w:id="139" w:name="_Toc50703722"/>
      <w:bookmarkStart w:id="140" w:name="_Toc43264516"/>
      <w:bookmarkStart w:id="141" w:name="_Toc50691029"/>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2"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8"/>
      <w:bookmarkStart w:id="143"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3"/>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5"/>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2"/>
      <w:bookmarkStart w:id="144" w:name="_Toc16983"/>
      <w:bookmarkStart w:id="145"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4"/>
      <w:bookmarkStart w:id="146"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7" w:name="_Toc14168"/>
      <w:bookmarkStart w:id="148" w:name="_Toc10043"/>
      <w:bookmarkStart w:id="149" w:name="_Toc19903"/>
      <w:bookmarkStart w:id="150" w:name="_Toc15350"/>
      <w:bookmarkStart w:id="151" w:name="_Toc16328"/>
      <w:bookmarkStart w:id="152" w:name="_Toc859"/>
      <w:bookmarkStart w:id="153" w:name="_Toc21640"/>
      <w:bookmarkStart w:id="154" w:name="_Toc3871"/>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6"/>
      <w:bookmarkEnd w:id="147"/>
      <w:bookmarkEnd w:id="148"/>
      <w:bookmarkEnd w:id="149"/>
      <w:bookmarkEnd w:id="150"/>
      <w:bookmarkEnd w:id="151"/>
      <w:bookmarkEnd w:id="152"/>
      <w:bookmarkEnd w:id="153"/>
      <w:bookmarkEnd w:id="154"/>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9"/>
    <w:bookmarkEnd w:id="140"/>
    <w:bookmarkEnd w:id="141"/>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5"/>
      <w:bookmarkStart w:id="155"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5"/>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6" w:name="_Toc76354925"/>
      <w:bookmarkStart w:id="157" w:name="_Toc50737297"/>
      <w:bookmarkStart w:id="158" w:name="_Toc385940903"/>
      <w:bookmarkStart w:id="159" w:name="_Toc52165081"/>
      <w:bookmarkStart w:id="160" w:name="_Toc50737329"/>
      <w:bookmarkStart w:id="161"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6"/>
      <w:bookmarkEnd w:id="157"/>
      <w:bookmarkEnd w:id="158"/>
      <w:bookmarkEnd w:id="159"/>
      <w:bookmarkEnd w:id="160"/>
      <w:bookmarkEnd w:id="161"/>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2" w:name="_Toc3091"/>
      <w:bookmarkStart w:id="163"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2"/>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8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1365"/>
        <w:gridCol w:w="1608"/>
        <w:gridCol w:w="898"/>
        <w:gridCol w:w="897"/>
        <w:gridCol w:w="883"/>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390"/>
              </w:tabs>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ab/>
            </w:r>
            <w:r>
              <w:rPr>
                <w:rFonts w:hint="eastAsia" w:ascii="宋体" w:hAnsi="宋体" w:cs="宋体"/>
                <w:i w:val="0"/>
                <w:iCs w:val="0"/>
                <w:color w:val="000000" w:themeColor="text1"/>
                <w:sz w:val="24"/>
                <w:szCs w:val="24"/>
                <w:u w:val="none"/>
                <w:lang w:eastAsia="zh-CN"/>
                <w14:textFill>
                  <w14:solidFill>
                    <w14:schemeClr w14:val="tx1"/>
                  </w14:solidFill>
                </w14:textFill>
              </w:rPr>
              <w:t>合计总金额（人民币）：</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8"/>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3"/>
    <w:bookmarkEnd w:id="124"/>
    <w:bookmarkEnd w:id="125"/>
    <w:bookmarkEnd w:id="126"/>
    <w:bookmarkEnd w:id="127"/>
    <w:bookmarkEnd w:id="128"/>
    <w:bookmarkEnd w:id="129"/>
    <w:bookmarkEnd w:id="130"/>
    <w:bookmarkEnd w:id="131"/>
    <w:bookmarkEnd w:id="132"/>
    <w:bookmarkEnd w:id="133"/>
    <w:bookmarkEnd w:id="134"/>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4" w:name="_Toc385940912"/>
      <w:bookmarkStart w:id="165" w:name="_Toc30381"/>
      <w:bookmarkStart w:id="166" w:name="_Toc76354922"/>
      <w:bookmarkStart w:id="167" w:name="_Toc50737326"/>
      <w:bookmarkStart w:id="168" w:name="_Toc50691030"/>
      <w:bookmarkStart w:id="169" w:name="_Toc50737294"/>
      <w:bookmarkStart w:id="170" w:name="_Toc52165078"/>
      <w:bookmarkStart w:id="171" w:name="_Toc50736474"/>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3"/>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4"/>
    </w:p>
    <w:bookmarkEnd w:id="165"/>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6"/>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7"/>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7"/>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2" w:name="_Toc1980"/>
      <w:bookmarkStart w:id="173"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2"/>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3"/>
      <w:bookmarkStart w:id="174" w:name="_Toc30875"/>
      <w:bookmarkStart w:id="175"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4"/>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5"/>
      <w:bookmarkStart w:id="176" w:name="_Toc11039"/>
      <w:bookmarkStart w:id="177"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6"/>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6"/>
      <w:bookmarkEnd w:id="167"/>
      <w:bookmarkEnd w:id="168"/>
      <w:bookmarkEnd w:id="169"/>
      <w:bookmarkEnd w:id="170"/>
      <w:bookmarkEnd w:id="171"/>
      <w:bookmarkEnd w:id="177"/>
      <w:bookmarkStart w:id="178" w:name="_Toc21492"/>
      <w:bookmarkStart w:id="179"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8"/>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79"/>
      <w:bookmarkStart w:id="180" w:name="_Toc9961"/>
      <w:bookmarkStart w:id="181"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80"/>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2" w:name="_Toc6412"/>
      <w:bookmarkStart w:id="183" w:name="_Toc18302"/>
      <w:bookmarkStart w:id="184" w:name="_Toc24751"/>
      <w:bookmarkStart w:id="185" w:name="_Toc19164"/>
      <w:bookmarkStart w:id="186"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2"/>
    <w:bookmarkEnd w:id="183"/>
    <w:bookmarkEnd w:id="184"/>
    <w:bookmarkEnd w:id="185"/>
    <w:bookmarkEnd w:id="186"/>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7" w:name="_Toc28336"/>
      <w:bookmarkStart w:id="188" w:name="_Toc15192"/>
      <w:bookmarkStart w:id="189" w:name="_Toc19917"/>
      <w:bookmarkStart w:id="190" w:name="_Toc11979"/>
      <w:bookmarkStart w:id="191"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7"/>
      <w:bookmarkEnd w:id="188"/>
      <w:bookmarkEnd w:id="189"/>
      <w:bookmarkEnd w:id="190"/>
      <w:bookmarkEnd w:id="191"/>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1"/>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24EE3FF"/>
    <w:multiLevelType w:val="singleLevel"/>
    <w:tmpl w:val="E24EE3FF"/>
    <w:lvl w:ilvl="0" w:tentative="0">
      <w:start w:val="1"/>
      <w:numFmt w:val="decimal"/>
      <w:suff w:val="nothing"/>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8BD01A1"/>
    <w:rsid w:val="099735DE"/>
    <w:rsid w:val="0DDF6BA0"/>
    <w:rsid w:val="0E5F11E0"/>
    <w:rsid w:val="0F2632C9"/>
    <w:rsid w:val="0F3139F2"/>
    <w:rsid w:val="11E47469"/>
    <w:rsid w:val="122F3DF9"/>
    <w:rsid w:val="145558C5"/>
    <w:rsid w:val="16610FF6"/>
    <w:rsid w:val="16C127FF"/>
    <w:rsid w:val="18B911E6"/>
    <w:rsid w:val="18D866F9"/>
    <w:rsid w:val="19D30F59"/>
    <w:rsid w:val="1A850877"/>
    <w:rsid w:val="1A8B64E4"/>
    <w:rsid w:val="1BE41EE5"/>
    <w:rsid w:val="1E8B28D9"/>
    <w:rsid w:val="1EA2005F"/>
    <w:rsid w:val="22745AB0"/>
    <w:rsid w:val="22A8167F"/>
    <w:rsid w:val="25872C20"/>
    <w:rsid w:val="26E86567"/>
    <w:rsid w:val="28B8038C"/>
    <w:rsid w:val="29791121"/>
    <w:rsid w:val="29A37242"/>
    <w:rsid w:val="2BE236FD"/>
    <w:rsid w:val="2C3D16BF"/>
    <w:rsid w:val="2C553B42"/>
    <w:rsid w:val="2E5C45DA"/>
    <w:rsid w:val="2E9C0F87"/>
    <w:rsid w:val="2EC15DDF"/>
    <w:rsid w:val="2EC563F4"/>
    <w:rsid w:val="307C4FCA"/>
    <w:rsid w:val="32A45F3D"/>
    <w:rsid w:val="378E0036"/>
    <w:rsid w:val="397558C4"/>
    <w:rsid w:val="3981328F"/>
    <w:rsid w:val="3AC774CA"/>
    <w:rsid w:val="3D7A7D06"/>
    <w:rsid w:val="3E4A5973"/>
    <w:rsid w:val="44D07D4A"/>
    <w:rsid w:val="46FB13F5"/>
    <w:rsid w:val="47190850"/>
    <w:rsid w:val="486F23C6"/>
    <w:rsid w:val="4B90386B"/>
    <w:rsid w:val="4C607432"/>
    <w:rsid w:val="4D6D6F8E"/>
    <w:rsid w:val="4F256C72"/>
    <w:rsid w:val="4FB04ACD"/>
    <w:rsid w:val="4FB83F73"/>
    <w:rsid w:val="50022ED7"/>
    <w:rsid w:val="50E623B2"/>
    <w:rsid w:val="514C34E6"/>
    <w:rsid w:val="53EE4268"/>
    <w:rsid w:val="5A034A42"/>
    <w:rsid w:val="5A260A88"/>
    <w:rsid w:val="5E3F1720"/>
    <w:rsid w:val="5FC61C60"/>
    <w:rsid w:val="610619ED"/>
    <w:rsid w:val="6142679E"/>
    <w:rsid w:val="619E49C2"/>
    <w:rsid w:val="61D16A5B"/>
    <w:rsid w:val="628B4619"/>
    <w:rsid w:val="673F7A07"/>
    <w:rsid w:val="683F57E5"/>
    <w:rsid w:val="6AD846D9"/>
    <w:rsid w:val="6B9E2823"/>
    <w:rsid w:val="6BC8201F"/>
    <w:rsid w:val="6D9C541F"/>
    <w:rsid w:val="6DA71CEF"/>
    <w:rsid w:val="6DD40098"/>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4"/>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标题 1 字符"/>
    <w:link w:val="3"/>
    <w:qFormat/>
    <w:uiPriority w:val="0"/>
    <w:rPr>
      <w:rFonts w:ascii="Times New Roman" w:hAnsi="Times New Roman" w:eastAsia="黑体"/>
      <w:color w:val="000000"/>
      <w:kern w:val="44"/>
      <w:sz w:val="30"/>
      <w:szCs w:val="44"/>
    </w:rPr>
  </w:style>
  <w:style w:type="paragraph" w:customStyle="1" w:styleId="25">
    <w:name w:val="表格文字"/>
    <w:basedOn w:val="1"/>
    <w:qFormat/>
    <w:uiPriority w:val="0"/>
    <w:pPr>
      <w:spacing w:before="25" w:after="25"/>
      <w:jc w:val="left"/>
    </w:pPr>
    <w:rPr>
      <w:bCs/>
      <w:spacing w:val="10"/>
      <w:kern w:val="0"/>
      <w:sz w:val="24"/>
      <w:szCs w:val="20"/>
    </w:rPr>
  </w:style>
  <w:style w:type="character" w:customStyle="1" w:styleId="26">
    <w:name w:val="font41"/>
    <w:basedOn w:val="18"/>
    <w:qFormat/>
    <w:uiPriority w:val="0"/>
    <w:rPr>
      <w:rFonts w:ascii="Calibri" w:hAnsi="Calibri" w:cs="Calibri"/>
      <w:color w:val="000000"/>
      <w:sz w:val="20"/>
      <w:szCs w:val="20"/>
      <w:u w:val="none"/>
    </w:rPr>
  </w:style>
  <w:style w:type="character" w:customStyle="1" w:styleId="27">
    <w:name w:val="font31"/>
    <w:basedOn w:val="18"/>
    <w:qFormat/>
    <w:uiPriority w:val="0"/>
    <w:rPr>
      <w:rFonts w:hint="eastAsia" w:ascii="宋体" w:hAnsi="宋体" w:eastAsia="宋体" w:cs="宋体"/>
      <w:color w:val="000000"/>
      <w:sz w:val="20"/>
      <w:szCs w:val="20"/>
      <w:u w:val="none"/>
    </w:rPr>
  </w:style>
  <w:style w:type="paragraph" w:customStyle="1" w:styleId="28">
    <w:name w:val="首行缩进"/>
    <w:basedOn w:val="1"/>
    <w:qFormat/>
    <w:uiPriority w:val="0"/>
    <w:pPr>
      <w:ind w:firstLine="480" w:firstLineChars="200"/>
    </w:pPr>
    <w:rPr>
      <w:lang w:val="zh-CN"/>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2">
    <w:name w:val="font11"/>
    <w:basedOn w:val="18"/>
    <w:qFormat/>
    <w:uiPriority w:val="0"/>
    <w:rPr>
      <w:rFonts w:hint="eastAsia" w:ascii="宋体" w:hAnsi="宋体" w:eastAsia="宋体" w:cs="宋体"/>
      <w:b/>
      <w:bCs/>
      <w:color w:val="000000"/>
      <w:sz w:val="32"/>
      <w:szCs w:val="32"/>
      <w:u w:val="none"/>
    </w:rPr>
  </w:style>
  <w:style w:type="character" w:customStyle="1" w:styleId="33">
    <w:name w:val="font0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9759</Words>
  <Characters>9941</Characters>
  <Lines>0</Lines>
  <Paragraphs>0</Paragraphs>
  <ScaleCrop>false</ScaleCrop>
  <LinksUpToDate>false</LinksUpToDate>
  <CharactersWithSpaces>11330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2025-06-06T00:43:00Z</cp:lastPrinted>
  <dcterms:modified xsi:type="dcterms:W3CDTF">2025-07-23T03:07:54Z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