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C19A2">
      <w:pPr>
        <w:widowControl/>
        <w:shd w:val="clear" w:color="auto" w:fill="FFFFFF"/>
        <w:spacing w:line="600" w:lineRule="exact"/>
        <w:jc w:val="center"/>
        <w:textAlignment w:val="baseline"/>
        <w:rPr>
          <w:rFonts w:ascii="宋体" w:hAnsi="宋体" w:eastAsia="宋体" w:cs="宋体"/>
          <w:b/>
          <w:bCs/>
          <w:kern w:val="0"/>
          <w:sz w:val="44"/>
          <w:szCs w:val="44"/>
          <w:shd w:val="clear" w:color="auto" w:fill="FFFFFF"/>
        </w:rPr>
      </w:pPr>
      <w:bookmarkStart w:id="0" w:name="_Hlk190872834"/>
      <w:r>
        <w:rPr>
          <w:rFonts w:hint="eastAsia" w:ascii="宋体" w:hAnsi="宋体" w:eastAsia="宋体" w:cs="宋体"/>
          <w:b/>
          <w:bCs/>
          <w:color w:val="4D4D4D"/>
          <w:sz w:val="33"/>
          <w:szCs w:val="33"/>
          <w:shd w:val="clear" w:color="auto" w:fill="FFFFFF"/>
        </w:rPr>
        <w:t>信宜市县域医共体资源共享中心和中心药房建设工程项目（一期）</w:t>
      </w:r>
      <w:bookmarkEnd w:id="0"/>
      <w:r>
        <w:rPr>
          <w:rFonts w:hint="eastAsia" w:ascii="宋体" w:hAnsi="宋体" w:eastAsia="宋体" w:cs="宋体"/>
          <w:b/>
          <w:bCs/>
          <w:color w:val="4D4D4D"/>
          <w:sz w:val="33"/>
          <w:szCs w:val="33"/>
          <w:shd w:val="clear" w:color="auto" w:fill="FFFFFF"/>
        </w:rPr>
        <w:t>要求</w:t>
      </w:r>
    </w:p>
    <w:p w14:paraId="3B397291">
      <w:pPr>
        <w:widowControl/>
        <w:shd w:val="clear" w:color="auto" w:fill="FFFFFF"/>
        <w:spacing w:line="600" w:lineRule="exact"/>
        <w:jc w:val="center"/>
        <w:textAlignment w:val="baseline"/>
        <w:rPr>
          <w:rFonts w:ascii="方正小标宋简体" w:hAnsi="方正小标宋简体" w:eastAsia="方正小标宋简体" w:cs="方正小标宋简体"/>
          <w:kern w:val="0"/>
          <w:sz w:val="44"/>
          <w:szCs w:val="44"/>
          <w:shd w:val="clear" w:color="auto" w:fill="FFFFFF"/>
        </w:rPr>
      </w:pPr>
    </w:p>
    <w:p w14:paraId="386DA5D4">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信宜市县域医共体资源共享中心和中心药房建设工程项目，旨在通过构建基于数字孪生医共体的统一信息化平台，实现医共体内医学影像、心电诊断及医学检验结果等医疗资源共享，并建立覆盖药品采购、配送、库存及用药监管的全链条药事管理体系，切实解决基层医疗服务能力不足、资源配置不均等问题，满足群众就医需求。</w:t>
      </w:r>
    </w:p>
    <w:p w14:paraId="04EC703A">
      <w:pPr>
        <w:rPr>
          <w:rFonts w:ascii="仿宋_GB2312" w:hAnsi="仿宋_GB2312" w:eastAsia="仿宋_GB2312" w:cs="仿宋_GB2312"/>
          <w:sz w:val="32"/>
          <w:szCs w:val="32"/>
        </w:rPr>
      </w:pPr>
      <w:r>
        <w:rPr>
          <w:rFonts w:hint="eastAsia" w:ascii="仿宋_GB2312" w:hAnsi="仿宋_GB2312" w:eastAsia="仿宋_GB2312" w:cs="仿宋_GB2312"/>
          <w:sz w:val="32"/>
          <w:szCs w:val="32"/>
        </w:rPr>
        <w:t>一、软件系统及功能需求（需提供配套设备清单及报价）：</w:t>
      </w:r>
    </w:p>
    <w:tbl>
      <w:tblPr>
        <w:tblStyle w:val="4"/>
        <w:tblW w:w="14498" w:type="dxa"/>
        <w:tblInd w:w="0" w:type="dxa"/>
        <w:tblLayout w:type="fixed"/>
        <w:tblCellMar>
          <w:top w:w="0" w:type="dxa"/>
          <w:left w:w="108" w:type="dxa"/>
          <w:bottom w:w="0" w:type="dxa"/>
          <w:right w:w="108" w:type="dxa"/>
        </w:tblCellMar>
      </w:tblPr>
      <w:tblGrid>
        <w:gridCol w:w="783"/>
        <w:gridCol w:w="2369"/>
        <w:gridCol w:w="2698"/>
        <w:gridCol w:w="6590"/>
        <w:gridCol w:w="2058"/>
      </w:tblGrid>
      <w:tr w14:paraId="003DE2B4">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A04A8">
            <w:pPr>
              <w:widowControl/>
              <w:jc w:val="center"/>
              <w:rPr>
                <w:rFonts w:ascii="仿宋_GB2312" w:hAnsi="仿宋_GB2312" w:eastAsia="仿宋_GB2312" w:cs="仿宋_GB2312"/>
                <w:b/>
                <w:bCs/>
                <w:color w:val="000000"/>
                <w:szCs w:val="24"/>
              </w:rPr>
            </w:pPr>
            <w:r>
              <w:rPr>
                <w:rFonts w:hint="eastAsia" w:ascii="仿宋_GB2312" w:hAnsi="仿宋_GB2312" w:eastAsia="仿宋_GB2312" w:cs="仿宋_GB2312"/>
                <w:b/>
                <w:bCs/>
                <w:color w:val="000000"/>
                <w:sz w:val="24"/>
                <w:szCs w:val="24"/>
              </w:rPr>
              <w:t>序号</w:t>
            </w:r>
          </w:p>
        </w:tc>
        <w:tc>
          <w:tcPr>
            <w:tcW w:w="5067" w:type="dxa"/>
            <w:gridSpan w:val="2"/>
            <w:tcBorders>
              <w:top w:val="single" w:color="auto" w:sz="4" w:space="0"/>
              <w:left w:val="nil"/>
              <w:bottom w:val="single" w:color="auto" w:sz="4" w:space="0"/>
              <w:right w:val="single" w:color="auto" w:sz="4" w:space="0"/>
            </w:tcBorders>
            <w:shd w:val="clear" w:color="auto" w:fill="auto"/>
            <w:noWrap/>
            <w:vAlign w:val="center"/>
          </w:tcPr>
          <w:p w14:paraId="62307CDA">
            <w:pPr>
              <w:widowControl/>
              <w:jc w:val="center"/>
              <w:rPr>
                <w:rFonts w:ascii="仿宋_GB2312" w:hAnsi="仿宋_GB2312" w:eastAsia="仿宋_GB2312" w:cs="仿宋_GB2312"/>
                <w:b/>
                <w:bCs/>
                <w:color w:val="000000"/>
                <w:szCs w:val="24"/>
              </w:rPr>
            </w:pPr>
            <w:r>
              <w:rPr>
                <w:rFonts w:hint="eastAsia" w:ascii="仿宋_GB2312" w:hAnsi="仿宋_GB2312" w:eastAsia="仿宋_GB2312" w:cs="仿宋_GB2312"/>
                <w:b/>
                <w:bCs/>
                <w:color w:val="000000"/>
                <w:sz w:val="24"/>
                <w:szCs w:val="24"/>
              </w:rPr>
              <w:t>系统名称</w:t>
            </w:r>
          </w:p>
        </w:tc>
        <w:tc>
          <w:tcPr>
            <w:tcW w:w="6590" w:type="dxa"/>
            <w:tcBorders>
              <w:top w:val="single" w:color="auto" w:sz="4" w:space="0"/>
              <w:left w:val="nil"/>
              <w:bottom w:val="single" w:color="auto" w:sz="4" w:space="0"/>
              <w:right w:val="single" w:color="auto" w:sz="4" w:space="0"/>
            </w:tcBorders>
            <w:shd w:val="clear" w:color="auto" w:fill="auto"/>
            <w:vAlign w:val="center"/>
          </w:tcPr>
          <w:p w14:paraId="731E5A1F">
            <w:pPr>
              <w:widowControl/>
              <w:jc w:val="center"/>
              <w:rPr>
                <w:rFonts w:ascii="仿宋_GB2312" w:hAnsi="仿宋_GB2312" w:eastAsia="仿宋_GB2312" w:cs="仿宋_GB2312"/>
                <w:b/>
                <w:bCs/>
                <w:color w:val="000000"/>
                <w:szCs w:val="24"/>
              </w:rPr>
            </w:pPr>
            <w:r>
              <w:rPr>
                <w:rFonts w:hint="eastAsia" w:ascii="仿宋_GB2312" w:hAnsi="仿宋_GB2312" w:eastAsia="仿宋_GB2312" w:cs="仿宋_GB2312"/>
                <w:b/>
                <w:bCs/>
                <w:color w:val="000000"/>
                <w:sz w:val="24"/>
                <w:szCs w:val="24"/>
              </w:rPr>
              <w:t>系统功能要求</w:t>
            </w:r>
          </w:p>
        </w:tc>
        <w:tc>
          <w:tcPr>
            <w:tcW w:w="2058" w:type="dxa"/>
            <w:tcBorders>
              <w:top w:val="single" w:color="auto" w:sz="4" w:space="0"/>
              <w:left w:val="nil"/>
              <w:bottom w:val="single" w:color="auto" w:sz="4" w:space="0"/>
              <w:right w:val="single" w:color="auto" w:sz="4" w:space="0"/>
            </w:tcBorders>
            <w:shd w:val="clear" w:color="auto" w:fill="auto"/>
            <w:vAlign w:val="center"/>
          </w:tcPr>
          <w:p w14:paraId="6E745716">
            <w:pPr>
              <w:widowControl/>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 w:val="24"/>
                <w:szCs w:val="24"/>
              </w:rPr>
              <w:t>备注</w:t>
            </w:r>
          </w:p>
        </w:tc>
      </w:tr>
      <w:tr w14:paraId="25E84A49">
        <w:tblPrEx>
          <w:tblCellMar>
            <w:top w:w="0" w:type="dxa"/>
            <w:left w:w="108" w:type="dxa"/>
            <w:bottom w:w="0" w:type="dxa"/>
            <w:right w:w="108" w:type="dxa"/>
          </w:tblCellMar>
        </w:tblPrEx>
        <w:trPr>
          <w:trHeight w:val="465" w:hRule="atLeast"/>
        </w:trPr>
        <w:tc>
          <w:tcPr>
            <w:tcW w:w="7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2EC2AB">
            <w:pPr>
              <w:widowControl/>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 w:val="24"/>
                <w:szCs w:val="24"/>
              </w:rPr>
              <w:t>1</w:t>
            </w:r>
          </w:p>
        </w:tc>
        <w:tc>
          <w:tcPr>
            <w:tcW w:w="2369" w:type="dxa"/>
            <w:vMerge w:val="restart"/>
            <w:tcBorders>
              <w:top w:val="single" w:color="auto" w:sz="4" w:space="0"/>
              <w:left w:val="nil"/>
              <w:bottom w:val="single" w:color="auto" w:sz="4" w:space="0"/>
              <w:right w:val="single" w:color="auto" w:sz="4" w:space="0"/>
            </w:tcBorders>
            <w:shd w:val="clear" w:color="auto" w:fill="auto"/>
            <w:vAlign w:val="center"/>
          </w:tcPr>
          <w:p w14:paraId="59EF0B90">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医共体信息化基础中心平台建设</w:t>
            </w:r>
          </w:p>
        </w:tc>
        <w:tc>
          <w:tcPr>
            <w:tcW w:w="2698" w:type="dxa"/>
            <w:tcBorders>
              <w:top w:val="nil"/>
              <w:left w:val="nil"/>
              <w:bottom w:val="single" w:color="auto" w:sz="4" w:space="0"/>
              <w:right w:val="single" w:color="auto" w:sz="4" w:space="0"/>
            </w:tcBorders>
            <w:shd w:val="clear" w:color="auto" w:fill="auto"/>
            <w:vAlign w:val="center"/>
          </w:tcPr>
          <w:p w14:paraId="2F4455E0">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医共体信息化基础中心平台项目一：医共体信息集成平台</w:t>
            </w:r>
          </w:p>
        </w:tc>
        <w:tc>
          <w:tcPr>
            <w:tcW w:w="6590" w:type="dxa"/>
            <w:tcBorders>
              <w:top w:val="nil"/>
              <w:left w:val="nil"/>
              <w:bottom w:val="single" w:color="auto" w:sz="4" w:space="0"/>
              <w:right w:val="single" w:color="auto" w:sz="4" w:space="0"/>
            </w:tcBorders>
            <w:shd w:val="clear" w:color="auto" w:fill="auto"/>
            <w:vAlign w:val="center"/>
          </w:tcPr>
          <w:p w14:paraId="429B7BB0">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rPr>
              <w:t>信息集成平台是一个在全医共体范围内、跨网络、跨协议、支持应用集成和数据集成的平台软件。在标准化方面，集成平台需采用SOA架构，遵循国际医疗健康信息传输标准-HL7，消息封装采用XML、SOAP。在应用集成方面，集成平台具有消息传送和消息路由的功能，通过消息格式和消息内容的转换来实现数据交换的功能。在数据集成方面，集成平台支持把交换的接口数据保存下来，以满足数据跟踪的要求，管理员可以通过监控系统对各接入系统间数据交换进行实时监控、分析。功能模块包含医院服务总线、主数据管理、患者主索引管理、统一用户和单点登录、数据中心、基于平台的应用</w:t>
            </w:r>
          </w:p>
        </w:tc>
        <w:tc>
          <w:tcPr>
            <w:tcW w:w="2058" w:type="dxa"/>
            <w:tcBorders>
              <w:top w:val="nil"/>
              <w:left w:val="nil"/>
              <w:bottom w:val="single" w:color="auto" w:sz="4" w:space="0"/>
              <w:right w:val="single" w:color="auto" w:sz="4" w:space="0"/>
            </w:tcBorders>
            <w:shd w:val="clear" w:color="auto" w:fill="auto"/>
            <w:vAlign w:val="center"/>
          </w:tcPr>
          <w:p w14:paraId="61E4E9C0">
            <w:pPr>
              <w:widowControl/>
              <w:jc w:val="center"/>
              <w:rPr>
                <w:rFonts w:ascii="仿宋_GB2312" w:hAnsi="仿宋_GB2312" w:eastAsia="仿宋_GB2312" w:cs="仿宋_GB2312"/>
                <w:color w:val="000000"/>
                <w:szCs w:val="24"/>
              </w:rPr>
            </w:pPr>
            <w:r>
              <w:rPr>
                <w:rFonts w:ascii="仿宋_GB2312" w:hAnsi="仿宋_GB2312" w:eastAsia="仿宋_GB2312" w:cs="仿宋_GB2312"/>
                <w:color w:val="000000"/>
                <w:szCs w:val="24"/>
              </w:rPr>
              <w:t>达到五级电子病历、互联互通四甲的要求</w:t>
            </w:r>
          </w:p>
        </w:tc>
      </w:tr>
      <w:tr w14:paraId="4C5B6A46">
        <w:tblPrEx>
          <w:tblCellMar>
            <w:top w:w="0" w:type="dxa"/>
            <w:left w:w="108" w:type="dxa"/>
            <w:bottom w:w="0" w:type="dxa"/>
            <w:right w:w="108" w:type="dxa"/>
          </w:tblCellMar>
        </w:tblPrEx>
        <w:trPr>
          <w:trHeight w:val="46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454E3E">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3DD78155">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2D37CE64">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医共体信息化基础中心平台项目二：医共体病案无纸化归档系统</w:t>
            </w:r>
          </w:p>
        </w:tc>
        <w:tc>
          <w:tcPr>
            <w:tcW w:w="6590" w:type="dxa"/>
            <w:tcBorders>
              <w:top w:val="nil"/>
              <w:left w:val="nil"/>
              <w:bottom w:val="single" w:color="auto" w:sz="4" w:space="0"/>
              <w:right w:val="single" w:color="auto" w:sz="4" w:space="0"/>
            </w:tcBorders>
            <w:shd w:val="clear" w:color="auto" w:fill="auto"/>
            <w:vAlign w:val="center"/>
          </w:tcPr>
          <w:p w14:paraId="3B27649E">
            <w:pPr>
              <w:pStyle w:val="9"/>
              <w:ind w:firstLine="423"/>
              <w:rPr>
                <w:rFonts w:hint="default" w:ascii="仿宋_GB2312" w:hAnsi="仿宋_GB2312" w:eastAsia="仿宋_GB2312" w:cs="仿宋_GB2312"/>
                <w:color w:val="000000"/>
                <w:kern w:val="2"/>
                <w:sz w:val="21"/>
                <w:szCs w:val="22"/>
                <w:lang w:eastAsia="zh-CN"/>
              </w:rPr>
            </w:pPr>
            <w:r>
              <w:rPr>
                <w:rFonts w:ascii="仿宋_GB2312" w:hAnsi="仿宋_GB2312" w:eastAsia="仿宋_GB2312" w:cs="仿宋_GB2312"/>
                <w:color w:val="000000"/>
                <w:kern w:val="2"/>
                <w:sz w:val="21"/>
                <w:szCs w:val="22"/>
                <w:lang w:eastAsia="zh-CN"/>
              </w:rPr>
              <w:t>系统主要应用于病案的无纸化归档管理，将医共体内医院各业务系统病历统一进行采集和归档，归档后病案以PDF格式或OFD格式进行存储，极大的减少纸质文件的使用，从而降低了印刷成本、耗材成本、存储成本和管理成本，既解决了过往病案面临的保存不易且不便管理等一系列的难题，也从根本上对未来不断产生的病案实现了信息化和无纸化，实现信息的电子化存储、管理和检索，以提高信息化水平，提升医疗服务质量，提高工作效率。</w:t>
            </w:r>
          </w:p>
          <w:p w14:paraId="759858D3">
            <w:pPr>
              <w:widowControl/>
              <w:jc w:val="left"/>
              <w:rPr>
                <w:rFonts w:ascii="仿宋_GB2312" w:hAnsi="仿宋_GB2312" w:eastAsia="仿宋_GB2312" w:cs="仿宋_GB2312"/>
                <w:color w:val="000000"/>
                <w:szCs w:val="24"/>
              </w:rPr>
            </w:pPr>
          </w:p>
        </w:tc>
        <w:tc>
          <w:tcPr>
            <w:tcW w:w="2058" w:type="dxa"/>
            <w:tcBorders>
              <w:top w:val="nil"/>
              <w:left w:val="nil"/>
              <w:bottom w:val="single" w:color="auto" w:sz="4" w:space="0"/>
              <w:right w:val="single" w:color="auto" w:sz="4" w:space="0"/>
            </w:tcBorders>
            <w:shd w:val="clear" w:color="auto" w:fill="auto"/>
            <w:vAlign w:val="center"/>
          </w:tcPr>
          <w:p w14:paraId="2551C0BA">
            <w:pPr>
              <w:widowControl/>
              <w:jc w:val="center"/>
              <w:rPr>
                <w:rFonts w:ascii="仿宋_GB2312" w:hAnsi="仿宋_GB2312" w:eastAsia="仿宋_GB2312" w:cs="仿宋_GB2312"/>
                <w:color w:val="000000"/>
                <w:szCs w:val="24"/>
              </w:rPr>
            </w:pPr>
          </w:p>
        </w:tc>
      </w:tr>
      <w:tr w14:paraId="4E85F61D">
        <w:tblPrEx>
          <w:tblCellMar>
            <w:top w:w="0" w:type="dxa"/>
            <w:left w:w="108" w:type="dxa"/>
            <w:bottom w:w="0" w:type="dxa"/>
            <w:right w:w="108" w:type="dxa"/>
          </w:tblCellMar>
        </w:tblPrEx>
        <w:trPr>
          <w:trHeight w:val="46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EA7565">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096F7C86">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75B026AC">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医共体信息化基础中心平台项目三：五级HIS系统功能建设</w:t>
            </w:r>
          </w:p>
        </w:tc>
        <w:tc>
          <w:tcPr>
            <w:tcW w:w="6590" w:type="dxa"/>
            <w:tcBorders>
              <w:top w:val="nil"/>
              <w:left w:val="nil"/>
              <w:bottom w:val="single" w:color="auto" w:sz="4" w:space="0"/>
              <w:right w:val="single" w:color="auto" w:sz="4" w:space="0"/>
            </w:tcBorders>
            <w:shd w:val="clear" w:color="auto" w:fill="auto"/>
            <w:vAlign w:val="center"/>
          </w:tcPr>
          <w:p w14:paraId="2438C9B4">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建立以患者为核心的数据中心，围绕患者，建立流程、医嘱、诊断等多条主索引，作为所有医疗数据的中心线，能够全方面的检索到需要的数据，同时能够快速形成符合国家标准的数据集。通过数据一体化将患者在医院各个环节的数据按照各个主索引所代表的主线实时收集到数据中心中，通过数据的高度共享，实现医院信息的高度互联互通。</w:t>
            </w:r>
          </w:p>
        </w:tc>
        <w:tc>
          <w:tcPr>
            <w:tcW w:w="2058" w:type="dxa"/>
            <w:tcBorders>
              <w:top w:val="nil"/>
              <w:left w:val="nil"/>
              <w:bottom w:val="single" w:color="auto" w:sz="4" w:space="0"/>
              <w:right w:val="single" w:color="auto" w:sz="4" w:space="0"/>
            </w:tcBorders>
            <w:shd w:val="clear" w:color="auto" w:fill="auto"/>
            <w:vAlign w:val="center"/>
          </w:tcPr>
          <w:p w14:paraId="43577A73">
            <w:pPr>
              <w:widowControl/>
              <w:jc w:val="center"/>
              <w:rPr>
                <w:rFonts w:ascii="仿宋_GB2312" w:hAnsi="仿宋_GB2312" w:eastAsia="仿宋_GB2312" w:cs="仿宋_GB2312"/>
                <w:color w:val="000000"/>
                <w:szCs w:val="24"/>
              </w:rPr>
            </w:pPr>
            <w:r>
              <w:rPr>
                <w:rFonts w:ascii="仿宋_GB2312" w:hAnsi="仿宋_GB2312" w:eastAsia="仿宋_GB2312" w:cs="仿宋_GB2312"/>
                <w:color w:val="000000"/>
                <w:szCs w:val="24"/>
              </w:rPr>
              <w:t>达到五级电子病历、互联互通四甲的要求</w:t>
            </w:r>
          </w:p>
        </w:tc>
      </w:tr>
      <w:tr w14:paraId="5BD5037E">
        <w:tblPrEx>
          <w:tblCellMar>
            <w:top w:w="0" w:type="dxa"/>
            <w:left w:w="108" w:type="dxa"/>
            <w:bottom w:w="0" w:type="dxa"/>
            <w:right w:w="108" w:type="dxa"/>
          </w:tblCellMar>
        </w:tblPrEx>
        <w:trPr>
          <w:trHeight w:val="133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0D50EC">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6702B95E">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348DDEA4">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医共体信息化基础中心平台项目四：电子病历系统</w:t>
            </w:r>
          </w:p>
        </w:tc>
        <w:tc>
          <w:tcPr>
            <w:tcW w:w="6590" w:type="dxa"/>
            <w:tcBorders>
              <w:top w:val="nil"/>
              <w:left w:val="nil"/>
              <w:bottom w:val="single" w:color="auto" w:sz="4" w:space="0"/>
              <w:right w:val="single" w:color="auto" w:sz="4" w:space="0"/>
            </w:tcBorders>
            <w:shd w:val="clear" w:color="auto" w:fill="auto"/>
            <w:vAlign w:val="center"/>
          </w:tcPr>
          <w:p w14:paraId="25F2E7CD">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围绕“医生为患者看病”的核心业务，以电子病历为核心，无缝展示患者完整的一体化数据。全面采集患者数据进行深度智能化分析，实现智能病历生成、智能医嘱推荐、结构化的病历存储和读取。轻松完成病历书写、质控和评分，配置电子病历系统、门诊电子病历系统等功能模块。</w:t>
            </w:r>
          </w:p>
        </w:tc>
        <w:tc>
          <w:tcPr>
            <w:tcW w:w="2058" w:type="dxa"/>
            <w:tcBorders>
              <w:top w:val="nil"/>
              <w:left w:val="nil"/>
              <w:bottom w:val="single" w:color="auto" w:sz="4" w:space="0"/>
              <w:right w:val="single" w:color="auto" w:sz="4" w:space="0"/>
            </w:tcBorders>
            <w:shd w:val="clear" w:color="auto" w:fill="auto"/>
            <w:vAlign w:val="center"/>
          </w:tcPr>
          <w:p w14:paraId="4857691E">
            <w:pPr>
              <w:widowControl/>
              <w:jc w:val="center"/>
              <w:rPr>
                <w:rFonts w:ascii="仿宋_GB2312" w:hAnsi="仿宋_GB2312" w:eastAsia="仿宋_GB2312" w:cs="仿宋_GB2312"/>
                <w:color w:val="000000"/>
                <w:szCs w:val="24"/>
              </w:rPr>
            </w:pPr>
            <w:r>
              <w:rPr>
                <w:rFonts w:ascii="仿宋_GB2312" w:hAnsi="仿宋_GB2312" w:eastAsia="仿宋_GB2312" w:cs="仿宋_GB2312"/>
                <w:color w:val="000000"/>
                <w:szCs w:val="24"/>
              </w:rPr>
              <w:t>达到五级电子病历、互联互通四甲的要求</w:t>
            </w:r>
          </w:p>
        </w:tc>
      </w:tr>
      <w:tr w14:paraId="69A6ED6B">
        <w:tblPrEx>
          <w:tblCellMar>
            <w:top w:w="0" w:type="dxa"/>
            <w:left w:w="108" w:type="dxa"/>
            <w:bottom w:w="0" w:type="dxa"/>
            <w:right w:w="108" w:type="dxa"/>
          </w:tblCellMar>
        </w:tblPrEx>
        <w:trPr>
          <w:trHeight w:val="133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4E1E46">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4E569FBE">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495FE2D5">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医共体信息化基础中心平台项目五：临床辅助决策系统</w:t>
            </w:r>
            <w:r>
              <w:rPr>
                <w:rFonts w:hint="eastAsia" w:ascii="仿宋_GB2312" w:hAnsi="仿宋_GB2312" w:eastAsia="仿宋_GB2312" w:cs="仿宋_GB2312"/>
                <w:color w:val="000000"/>
                <w:szCs w:val="24"/>
              </w:rPr>
              <w:t>（CDSS）</w:t>
            </w:r>
          </w:p>
        </w:tc>
        <w:tc>
          <w:tcPr>
            <w:tcW w:w="6590" w:type="dxa"/>
            <w:tcBorders>
              <w:top w:val="nil"/>
              <w:left w:val="nil"/>
              <w:bottom w:val="single" w:color="auto" w:sz="4" w:space="0"/>
              <w:right w:val="single" w:color="auto" w:sz="4" w:space="0"/>
            </w:tcBorders>
            <w:shd w:val="clear" w:color="auto" w:fill="auto"/>
            <w:vAlign w:val="center"/>
          </w:tcPr>
          <w:p w14:paraId="1C4BC873">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临床辅助决策系统（CDSS）需具备智能诊疗推荐、异常指标预警、多源知识库支持（含疾病指南/药品数据）、医嘱合理性审核四大核心功能，同时要求与HIS/EMR系统深度集成。</w:t>
            </w:r>
          </w:p>
        </w:tc>
        <w:tc>
          <w:tcPr>
            <w:tcW w:w="2058" w:type="dxa"/>
            <w:tcBorders>
              <w:top w:val="nil"/>
              <w:left w:val="nil"/>
              <w:bottom w:val="single" w:color="auto" w:sz="4" w:space="0"/>
              <w:right w:val="single" w:color="auto" w:sz="4" w:space="0"/>
            </w:tcBorders>
            <w:shd w:val="clear" w:color="auto" w:fill="auto"/>
            <w:vAlign w:val="center"/>
          </w:tcPr>
          <w:p w14:paraId="7C639F97">
            <w:pPr>
              <w:widowControl/>
              <w:jc w:val="center"/>
              <w:rPr>
                <w:rFonts w:ascii="仿宋_GB2312" w:hAnsi="仿宋_GB2312" w:eastAsia="仿宋_GB2312" w:cs="仿宋_GB2312"/>
                <w:color w:val="000000"/>
                <w:szCs w:val="24"/>
              </w:rPr>
            </w:pPr>
          </w:p>
        </w:tc>
      </w:tr>
      <w:tr w14:paraId="736676B2">
        <w:tblPrEx>
          <w:tblCellMar>
            <w:top w:w="0" w:type="dxa"/>
            <w:left w:w="108" w:type="dxa"/>
            <w:bottom w:w="0" w:type="dxa"/>
            <w:right w:w="108" w:type="dxa"/>
          </w:tblCellMar>
        </w:tblPrEx>
        <w:trPr>
          <w:trHeight w:val="133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ADCF88">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0345BF84">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121691FE">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医共体信息化基础中心平台项目六：血液透析信息管理系统</w:t>
            </w:r>
          </w:p>
        </w:tc>
        <w:tc>
          <w:tcPr>
            <w:tcW w:w="6590" w:type="dxa"/>
            <w:tcBorders>
              <w:top w:val="nil"/>
              <w:left w:val="nil"/>
              <w:bottom w:val="single" w:color="auto" w:sz="4" w:space="0"/>
              <w:right w:val="single" w:color="auto" w:sz="4" w:space="0"/>
            </w:tcBorders>
            <w:shd w:val="clear" w:color="auto" w:fill="auto"/>
            <w:vAlign w:val="center"/>
          </w:tcPr>
          <w:p w14:paraId="00D52CBB">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1、建立血液透析质量方面的基础数据库，内容覆盖血液透析的全过程。使用信息系统实现对血液透析全程质量监测、追踪和分析相关数据。</w:t>
            </w:r>
          </w:p>
          <w:p w14:paraId="18B35F19">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2、多维度统计分析数据，实现与全国血液透析病例信息登记系统对接，减少人工登记录入。</w:t>
            </w:r>
          </w:p>
        </w:tc>
        <w:tc>
          <w:tcPr>
            <w:tcW w:w="2058" w:type="dxa"/>
            <w:tcBorders>
              <w:top w:val="nil"/>
              <w:left w:val="nil"/>
              <w:bottom w:val="single" w:color="auto" w:sz="4" w:space="0"/>
              <w:right w:val="single" w:color="auto" w:sz="4" w:space="0"/>
            </w:tcBorders>
            <w:shd w:val="clear" w:color="auto" w:fill="auto"/>
            <w:vAlign w:val="center"/>
          </w:tcPr>
          <w:p w14:paraId="755C83EB">
            <w:pPr>
              <w:widowControl/>
              <w:jc w:val="center"/>
              <w:rPr>
                <w:rFonts w:ascii="仿宋_GB2312" w:hAnsi="仿宋_GB2312" w:eastAsia="仿宋_GB2312" w:cs="仿宋_GB2312"/>
                <w:color w:val="000000"/>
                <w:szCs w:val="24"/>
              </w:rPr>
            </w:pPr>
          </w:p>
        </w:tc>
      </w:tr>
      <w:tr w14:paraId="16AC8E25">
        <w:tblPrEx>
          <w:tblCellMar>
            <w:top w:w="0" w:type="dxa"/>
            <w:left w:w="108" w:type="dxa"/>
            <w:bottom w:w="0" w:type="dxa"/>
            <w:right w:w="108" w:type="dxa"/>
          </w:tblCellMar>
        </w:tblPrEx>
        <w:trPr>
          <w:trHeight w:val="46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80E8C1">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35D02AA2">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3B9854E2">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中心L</w:t>
            </w:r>
            <w:r>
              <w:rPr>
                <w:rFonts w:ascii="仿宋_GB2312" w:hAnsi="仿宋_GB2312" w:eastAsia="仿宋_GB2312" w:cs="仿宋_GB2312"/>
                <w:color w:val="000000"/>
                <w:sz w:val="24"/>
                <w:szCs w:val="24"/>
              </w:rPr>
              <w:t>IS</w:t>
            </w:r>
            <w:r>
              <w:rPr>
                <w:rFonts w:hint="eastAsia" w:ascii="仿宋_GB2312" w:hAnsi="仿宋_GB2312" w:eastAsia="仿宋_GB2312" w:cs="仿宋_GB2312"/>
                <w:color w:val="000000"/>
                <w:sz w:val="24"/>
                <w:szCs w:val="24"/>
              </w:rPr>
              <w:t>系统</w:t>
            </w:r>
          </w:p>
        </w:tc>
        <w:tc>
          <w:tcPr>
            <w:tcW w:w="6590" w:type="dxa"/>
            <w:tcBorders>
              <w:top w:val="nil"/>
              <w:left w:val="nil"/>
              <w:bottom w:val="single" w:color="auto" w:sz="4" w:space="0"/>
              <w:right w:val="single" w:color="auto" w:sz="4" w:space="0"/>
            </w:tcBorders>
            <w:shd w:val="clear" w:color="auto" w:fill="auto"/>
            <w:vAlign w:val="center"/>
          </w:tcPr>
          <w:p w14:paraId="0E005C53">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系统支持患者基本信息录入、查询、修改、删除等功能，确保患者信息的完整性和准确性。实现检验申请的生成、审批、查询以及报告的生成、打印、存档</w:t>
            </w:r>
            <w:r>
              <w:rPr>
                <w:rFonts w:hint="eastAsia" w:ascii="仿宋_GB2312" w:hAnsi="仿宋_GB2312" w:eastAsia="仿宋_GB2312" w:cs="仿宋_GB2312"/>
                <w:color w:val="000000"/>
                <w:sz w:val="24"/>
                <w:szCs w:val="24"/>
              </w:rPr>
              <w:t>等功能。支持检验结果的自动采集、处理、录入及实时查询，确保数据的快速反馈。支持检</w:t>
            </w:r>
            <w:r>
              <w:rPr>
                <w:rFonts w:hint="eastAsia" w:ascii="仿宋_GB2312" w:hAnsi="仿宋_GB2312" w:eastAsia="仿宋_GB2312" w:cs="仿宋_GB2312"/>
                <w:color w:val="000000"/>
                <w:szCs w:val="24"/>
              </w:rPr>
              <w:t>验数据的统计分析，生成报表，帮助管理人员进行决策。支持与县域医共体各医院信息系统（</w:t>
            </w:r>
            <w:r>
              <w:rPr>
                <w:rFonts w:ascii="仿宋_GB2312" w:hAnsi="仿宋_GB2312" w:eastAsia="仿宋_GB2312" w:cs="仿宋_GB2312"/>
                <w:color w:val="000000"/>
                <w:szCs w:val="24"/>
              </w:rPr>
              <w:t>HIS）、电子病历（EMR）对接，实现数据共享</w:t>
            </w:r>
            <w:r>
              <w:rPr>
                <w:rFonts w:hint="eastAsia" w:ascii="仿宋_GB2312" w:hAnsi="仿宋_GB2312" w:eastAsia="仿宋_GB2312" w:cs="仿宋_GB2312"/>
                <w:color w:val="000000"/>
                <w:szCs w:val="24"/>
              </w:rPr>
              <w:t>。</w:t>
            </w:r>
          </w:p>
          <w:p w14:paraId="3D61C304">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支持检验中心的建立，所有数据都存储到资源共享中心，并实现县域电子调阅检验报告</w:t>
            </w:r>
          </w:p>
        </w:tc>
        <w:tc>
          <w:tcPr>
            <w:tcW w:w="2058" w:type="dxa"/>
            <w:tcBorders>
              <w:top w:val="nil"/>
              <w:left w:val="nil"/>
              <w:bottom w:val="single" w:color="auto" w:sz="4" w:space="0"/>
              <w:right w:val="single" w:color="auto" w:sz="4" w:space="0"/>
            </w:tcBorders>
            <w:shd w:val="clear" w:color="auto" w:fill="auto"/>
            <w:vAlign w:val="center"/>
          </w:tcPr>
          <w:p w14:paraId="3EE29CF7">
            <w:pPr>
              <w:widowControl/>
              <w:jc w:val="center"/>
              <w:rPr>
                <w:rFonts w:ascii="仿宋_GB2312" w:hAnsi="仿宋_GB2312" w:eastAsia="仿宋_GB2312" w:cs="仿宋_GB2312"/>
                <w:color w:val="000000"/>
                <w:szCs w:val="24"/>
              </w:rPr>
            </w:pPr>
            <w:r>
              <w:rPr>
                <w:rFonts w:ascii="仿宋_GB2312" w:hAnsi="仿宋_GB2312" w:eastAsia="仿宋_GB2312" w:cs="仿宋_GB2312"/>
                <w:color w:val="000000"/>
                <w:szCs w:val="24"/>
              </w:rPr>
              <w:t>达到五级电子病历、互联互通四甲的要求</w:t>
            </w:r>
            <w:r>
              <w:rPr>
                <w:rFonts w:hint="eastAsia" w:ascii="仿宋_GB2312" w:hAnsi="仿宋_GB2312" w:eastAsia="仿宋_GB2312" w:cs="仿宋_GB2312"/>
                <w:color w:val="000000"/>
                <w:szCs w:val="24"/>
              </w:rPr>
              <w:t>，费用含</w:t>
            </w:r>
            <w:r>
              <w:rPr>
                <w:rFonts w:ascii="仿宋_GB2312" w:hAnsi="仿宋_GB2312" w:eastAsia="仿宋_GB2312" w:cs="仿宋_GB2312"/>
                <w:color w:val="000000"/>
                <w:szCs w:val="24"/>
              </w:rPr>
              <w:t>25家基层卫生院</w:t>
            </w:r>
            <w:r>
              <w:rPr>
                <w:rFonts w:hint="eastAsia" w:ascii="仿宋_GB2312" w:hAnsi="仿宋_GB2312" w:eastAsia="仿宋_GB2312" w:cs="仿宋_GB2312"/>
                <w:color w:val="000000"/>
                <w:szCs w:val="24"/>
              </w:rPr>
              <w:t>LIS</w:t>
            </w:r>
            <w:r>
              <w:rPr>
                <w:rFonts w:ascii="仿宋_GB2312" w:hAnsi="仿宋_GB2312" w:eastAsia="仿宋_GB2312" w:cs="仿宋_GB2312"/>
                <w:color w:val="000000"/>
                <w:szCs w:val="24"/>
              </w:rPr>
              <w:t>平台分布式部署</w:t>
            </w:r>
            <w:r>
              <w:rPr>
                <w:rFonts w:hint="eastAsia" w:ascii="仿宋_GB2312" w:hAnsi="仿宋_GB2312" w:eastAsia="仿宋_GB2312" w:cs="仿宋_GB2312"/>
                <w:color w:val="000000"/>
                <w:szCs w:val="24"/>
              </w:rPr>
              <w:t>对接</w:t>
            </w:r>
            <w:r>
              <w:rPr>
                <w:rFonts w:ascii="仿宋_GB2312" w:hAnsi="仿宋_GB2312" w:eastAsia="仿宋_GB2312" w:cs="仿宋_GB2312"/>
                <w:color w:val="000000"/>
                <w:szCs w:val="24"/>
              </w:rPr>
              <w:t>费用</w:t>
            </w:r>
          </w:p>
        </w:tc>
      </w:tr>
      <w:tr w14:paraId="72950427">
        <w:tblPrEx>
          <w:tblCellMar>
            <w:top w:w="0" w:type="dxa"/>
            <w:left w:w="108" w:type="dxa"/>
            <w:bottom w:w="0" w:type="dxa"/>
            <w:right w:w="108" w:type="dxa"/>
          </w:tblCellMar>
        </w:tblPrEx>
        <w:trPr>
          <w:trHeight w:val="46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140B2B">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57FD5433">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6A267B02">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中心P</w:t>
            </w:r>
            <w:r>
              <w:rPr>
                <w:rFonts w:ascii="仿宋_GB2312" w:hAnsi="仿宋_GB2312" w:eastAsia="仿宋_GB2312" w:cs="仿宋_GB2312"/>
                <w:color w:val="000000"/>
                <w:sz w:val="24"/>
                <w:szCs w:val="24"/>
              </w:rPr>
              <w:t>ACS</w:t>
            </w:r>
            <w:r>
              <w:rPr>
                <w:rFonts w:hint="eastAsia" w:ascii="仿宋_GB2312" w:hAnsi="仿宋_GB2312" w:eastAsia="仿宋_GB2312" w:cs="仿宋_GB2312"/>
                <w:color w:val="000000"/>
                <w:sz w:val="24"/>
                <w:szCs w:val="24"/>
              </w:rPr>
              <w:t>系统项目一：区域影像中心系统</w:t>
            </w:r>
          </w:p>
        </w:tc>
        <w:tc>
          <w:tcPr>
            <w:tcW w:w="6590" w:type="dxa"/>
            <w:tcBorders>
              <w:top w:val="nil"/>
              <w:left w:val="nil"/>
              <w:bottom w:val="single" w:color="auto" w:sz="4" w:space="0"/>
              <w:right w:val="single" w:color="auto" w:sz="4" w:space="0"/>
            </w:tcBorders>
            <w:shd w:val="clear" w:color="auto" w:fill="auto"/>
            <w:vAlign w:val="center"/>
          </w:tcPr>
          <w:p w14:paraId="4C34EAFB">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支持医学影像（如</w:t>
            </w:r>
            <w:r>
              <w:rPr>
                <w:rFonts w:ascii="仿宋_GB2312" w:hAnsi="仿宋_GB2312" w:eastAsia="仿宋_GB2312" w:cs="仿宋_GB2312"/>
                <w:color w:val="000000"/>
                <w:szCs w:val="24"/>
              </w:rPr>
              <w:t>X光、CT、MRI等）的采集、存储、管理和查询。</w:t>
            </w:r>
            <w:r>
              <w:rPr>
                <w:rFonts w:hint="eastAsia" w:ascii="仿宋_GB2312" w:hAnsi="仿宋_GB2312" w:eastAsia="仿宋_GB2312" w:cs="仿宋_GB2312"/>
                <w:color w:val="000000"/>
                <w:szCs w:val="24"/>
              </w:rPr>
              <w:t>能够自动生成影像报告，支持与医院信息系统（</w:t>
            </w:r>
            <w:r>
              <w:rPr>
                <w:rFonts w:ascii="仿宋_GB2312" w:hAnsi="仿宋_GB2312" w:eastAsia="仿宋_GB2312" w:cs="仿宋_GB2312"/>
                <w:color w:val="000000"/>
                <w:szCs w:val="24"/>
              </w:rPr>
              <w:t>HIS）</w:t>
            </w:r>
            <w:r>
              <w:rPr>
                <w:rFonts w:hint="eastAsia" w:ascii="仿宋_GB2312" w:hAnsi="仿宋_GB2312" w:eastAsia="仿宋_GB2312" w:cs="仿宋_GB2312"/>
                <w:color w:val="000000"/>
                <w:szCs w:val="24"/>
              </w:rPr>
              <w:t>、</w:t>
            </w:r>
            <w:r>
              <w:rPr>
                <w:rFonts w:ascii="仿宋_GB2312" w:hAnsi="仿宋_GB2312" w:eastAsia="仿宋_GB2312" w:cs="仿宋_GB2312"/>
                <w:color w:val="000000"/>
                <w:szCs w:val="24"/>
              </w:rPr>
              <w:t>电子病历（EMR）对接，实现数据共享。</w:t>
            </w:r>
            <w:r>
              <w:rPr>
                <w:rFonts w:hint="eastAsia" w:ascii="仿宋_GB2312" w:hAnsi="仿宋_GB2312" w:eastAsia="仿宋_GB2312" w:cs="仿宋_GB2312"/>
                <w:color w:val="000000"/>
                <w:szCs w:val="24"/>
              </w:rPr>
              <w:t>实时生成报告。支持影像数据的在线共享，便于多科室协作与远程会诊。</w:t>
            </w:r>
          </w:p>
          <w:p w14:paraId="7EF9D919">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支持</w:t>
            </w:r>
            <w:r>
              <w:rPr>
                <w:rFonts w:ascii="仿宋_GB2312" w:hAnsi="仿宋_GB2312" w:eastAsia="仿宋_GB2312" w:cs="仿宋_GB2312"/>
                <w:color w:val="000000"/>
                <w:szCs w:val="24"/>
              </w:rPr>
              <w:t>DICOM标准协议，能够与</w:t>
            </w:r>
            <w:r>
              <w:rPr>
                <w:rFonts w:hint="eastAsia" w:ascii="仿宋_GB2312" w:hAnsi="仿宋_GB2312" w:eastAsia="仿宋_GB2312" w:cs="仿宋_GB2312"/>
                <w:color w:val="000000"/>
                <w:szCs w:val="24"/>
              </w:rPr>
              <w:t>县域医共体各医院</w:t>
            </w:r>
            <w:r>
              <w:rPr>
                <w:rFonts w:ascii="仿宋_GB2312" w:hAnsi="仿宋_GB2312" w:eastAsia="仿宋_GB2312" w:cs="仿宋_GB2312"/>
                <w:color w:val="000000"/>
                <w:szCs w:val="24"/>
              </w:rPr>
              <w:t>影像设备及其他系统无缝对接。</w:t>
            </w:r>
            <w:r>
              <w:rPr>
                <w:rFonts w:hint="eastAsia" w:ascii="仿宋_GB2312" w:hAnsi="仿宋_GB2312" w:eastAsia="仿宋_GB2312" w:cs="仿宋_GB2312"/>
                <w:color w:val="000000"/>
                <w:szCs w:val="24"/>
              </w:rPr>
              <w:t>兼容常见操作系统与平台，实现跨平台数据传输和处理。</w:t>
            </w:r>
          </w:p>
          <w:p w14:paraId="4BA5AE60">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支持远程影像中心的建立，远程B超中心的建立，所有数据都存储到资源共享中心，并实现县域电子调阅报告、实现县域医共体各医院云胶片查阅。</w:t>
            </w:r>
          </w:p>
          <w:p w14:paraId="1DE3B086">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需要包含统一检查预约平台，实现县域检查资源共享。</w:t>
            </w:r>
          </w:p>
          <w:p w14:paraId="45350E65">
            <w:pPr>
              <w:widowControl/>
              <w:jc w:val="left"/>
              <w:rPr>
                <w:rFonts w:ascii="仿宋_GB2312" w:hAnsi="仿宋_GB2312" w:eastAsia="仿宋_GB2312" w:cs="仿宋_GB2312"/>
                <w:color w:val="000000"/>
                <w:szCs w:val="24"/>
              </w:rPr>
            </w:pPr>
          </w:p>
        </w:tc>
        <w:tc>
          <w:tcPr>
            <w:tcW w:w="2058" w:type="dxa"/>
            <w:tcBorders>
              <w:top w:val="nil"/>
              <w:left w:val="nil"/>
              <w:bottom w:val="single" w:color="auto" w:sz="4" w:space="0"/>
              <w:right w:val="single" w:color="auto" w:sz="4" w:space="0"/>
            </w:tcBorders>
            <w:shd w:val="clear" w:color="auto" w:fill="auto"/>
            <w:vAlign w:val="center"/>
          </w:tcPr>
          <w:p w14:paraId="477BC72E">
            <w:pPr>
              <w:widowControl/>
              <w:jc w:val="center"/>
              <w:rPr>
                <w:rFonts w:ascii="仿宋_GB2312" w:hAnsi="仿宋_GB2312" w:eastAsia="仿宋_GB2312" w:cs="仿宋_GB2312"/>
                <w:color w:val="000000"/>
                <w:szCs w:val="24"/>
              </w:rPr>
            </w:pPr>
            <w:r>
              <w:rPr>
                <w:rFonts w:ascii="仿宋_GB2312" w:hAnsi="仿宋_GB2312" w:eastAsia="仿宋_GB2312" w:cs="仿宋_GB2312"/>
                <w:color w:val="000000"/>
                <w:szCs w:val="24"/>
              </w:rPr>
              <w:t>达到五级电子病历、互联互通四甲的要求</w:t>
            </w:r>
            <w:r>
              <w:rPr>
                <w:rFonts w:hint="eastAsia" w:ascii="仿宋_GB2312" w:hAnsi="仿宋_GB2312" w:eastAsia="仿宋_GB2312" w:cs="仿宋_GB2312"/>
                <w:color w:val="000000"/>
                <w:szCs w:val="24"/>
              </w:rPr>
              <w:t>，费用含</w:t>
            </w:r>
            <w:r>
              <w:rPr>
                <w:rFonts w:ascii="仿宋_GB2312" w:hAnsi="仿宋_GB2312" w:eastAsia="仿宋_GB2312" w:cs="仿宋_GB2312"/>
                <w:color w:val="000000"/>
                <w:szCs w:val="24"/>
              </w:rPr>
              <w:t>25家基层卫生院影像平台分布式部署</w:t>
            </w:r>
            <w:r>
              <w:rPr>
                <w:rFonts w:hint="eastAsia" w:ascii="仿宋_GB2312" w:hAnsi="仿宋_GB2312" w:eastAsia="仿宋_GB2312" w:cs="仿宋_GB2312"/>
                <w:color w:val="000000"/>
                <w:szCs w:val="24"/>
              </w:rPr>
              <w:t>对接</w:t>
            </w:r>
            <w:r>
              <w:rPr>
                <w:rFonts w:ascii="仿宋_GB2312" w:hAnsi="仿宋_GB2312" w:eastAsia="仿宋_GB2312" w:cs="仿宋_GB2312"/>
                <w:color w:val="000000"/>
                <w:szCs w:val="24"/>
              </w:rPr>
              <w:t>费用</w:t>
            </w:r>
          </w:p>
        </w:tc>
      </w:tr>
      <w:tr w14:paraId="7B2F06D3">
        <w:tblPrEx>
          <w:tblCellMar>
            <w:top w:w="0" w:type="dxa"/>
            <w:left w:w="108" w:type="dxa"/>
            <w:bottom w:w="0" w:type="dxa"/>
            <w:right w:w="108" w:type="dxa"/>
          </w:tblCellMar>
        </w:tblPrEx>
        <w:trPr>
          <w:trHeight w:val="46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8AA8F9">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7E964777">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5A51615F">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中心P</w:t>
            </w:r>
            <w:r>
              <w:rPr>
                <w:rFonts w:ascii="仿宋_GB2312" w:hAnsi="仿宋_GB2312" w:eastAsia="仿宋_GB2312" w:cs="仿宋_GB2312"/>
                <w:color w:val="000000"/>
                <w:sz w:val="24"/>
                <w:szCs w:val="24"/>
              </w:rPr>
              <w:t>ACS</w:t>
            </w:r>
            <w:r>
              <w:rPr>
                <w:rFonts w:hint="eastAsia" w:ascii="仿宋_GB2312" w:hAnsi="仿宋_GB2312" w:eastAsia="仿宋_GB2312" w:cs="仿宋_GB2312"/>
                <w:color w:val="000000"/>
                <w:sz w:val="24"/>
                <w:szCs w:val="24"/>
              </w:rPr>
              <w:t>系统项目二：区域病理中心系统</w:t>
            </w:r>
          </w:p>
        </w:tc>
        <w:tc>
          <w:tcPr>
            <w:tcW w:w="6590" w:type="dxa"/>
            <w:tcBorders>
              <w:top w:val="nil"/>
              <w:left w:val="nil"/>
              <w:bottom w:val="single" w:color="auto" w:sz="4" w:space="0"/>
              <w:right w:val="single" w:color="auto" w:sz="4" w:space="0"/>
            </w:tcBorders>
            <w:shd w:val="clear" w:color="auto" w:fill="auto"/>
            <w:vAlign w:val="center"/>
          </w:tcPr>
          <w:p w14:paraId="21E26B96">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区域病理中心系统建设要求为互联互通、质控追踪一体化，实现病理信息的全流程监管、及时交互，以互联网TOC产品思维打造区域病理信息管理及样本追踪系统，在每个环节配备差异化站点软件，对病理流程全面管理，从取材、脱水、包埋、制片、染色、制片确认、派片的各个流程实时追踪，统一管理，并针对诊断质控和技术质控过程提供多种统计管理，实现标本从离体、制作玻片到病理诊断报告输出、归档等全流程追踪管控，完整记录各环节操作人、操作时间、操作设备，全程质量控制。支持对接各种制片诊断等物理设备，包括HPV、mRNA等，实现包括常规、细胞、冰冻、分子、特检等各种诊断报告，支持自定义模板，以及各种医嘱套餐。设备连通，提升制片、诊断的质量和效率。</w:t>
            </w:r>
          </w:p>
        </w:tc>
        <w:tc>
          <w:tcPr>
            <w:tcW w:w="2058" w:type="dxa"/>
            <w:tcBorders>
              <w:top w:val="nil"/>
              <w:left w:val="nil"/>
              <w:bottom w:val="single" w:color="auto" w:sz="4" w:space="0"/>
              <w:right w:val="single" w:color="auto" w:sz="4" w:space="0"/>
            </w:tcBorders>
            <w:shd w:val="clear" w:color="auto" w:fill="auto"/>
            <w:vAlign w:val="center"/>
          </w:tcPr>
          <w:p w14:paraId="2E5B0C93">
            <w:pPr>
              <w:widowControl/>
              <w:jc w:val="center"/>
              <w:rPr>
                <w:rFonts w:ascii="仿宋_GB2312" w:hAnsi="仿宋_GB2312" w:eastAsia="仿宋_GB2312" w:cs="仿宋_GB2312"/>
                <w:color w:val="000000"/>
                <w:szCs w:val="24"/>
              </w:rPr>
            </w:pPr>
          </w:p>
        </w:tc>
      </w:tr>
      <w:tr w14:paraId="39DCFAE1">
        <w:tblPrEx>
          <w:tblCellMar>
            <w:top w:w="0" w:type="dxa"/>
            <w:left w:w="108" w:type="dxa"/>
            <w:bottom w:w="0" w:type="dxa"/>
            <w:right w:w="108" w:type="dxa"/>
          </w:tblCellMar>
        </w:tblPrEx>
        <w:trPr>
          <w:trHeight w:val="46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A336C9">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6531F565">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114FD1E1">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中心心电系统—子项目一心电系统</w:t>
            </w:r>
          </w:p>
        </w:tc>
        <w:tc>
          <w:tcPr>
            <w:tcW w:w="6590" w:type="dxa"/>
            <w:tcBorders>
              <w:top w:val="nil"/>
              <w:left w:val="nil"/>
              <w:bottom w:val="single" w:color="auto" w:sz="4" w:space="0"/>
              <w:right w:val="single" w:color="auto" w:sz="4" w:space="0"/>
            </w:tcBorders>
            <w:shd w:val="clear" w:color="auto" w:fill="auto"/>
            <w:vAlign w:val="center"/>
          </w:tcPr>
          <w:p w14:paraId="14CB6DE0">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升级改造牵头医院的心电系统，覆盖支持心电图仪器接入，实时采集并存储数据，确保准确性。支持心电图实时显示，帮助医生及时监控患者状况。可自动识别异常波形并提供初步诊断建议。支持与医院信息系统（</w:t>
            </w:r>
            <w:r>
              <w:rPr>
                <w:rFonts w:ascii="仿宋_GB2312" w:hAnsi="仿宋_GB2312" w:eastAsia="仿宋_GB2312" w:cs="仿宋_GB2312"/>
                <w:color w:val="000000"/>
                <w:szCs w:val="24"/>
              </w:rPr>
              <w:t>HIS）、电子病历（EMR）对接，实现数据共享</w:t>
            </w:r>
            <w:r>
              <w:rPr>
                <w:rFonts w:hint="eastAsia" w:ascii="仿宋_GB2312" w:hAnsi="仿宋_GB2312" w:eastAsia="仿宋_GB2312" w:cs="仿宋_GB2312"/>
                <w:color w:val="000000"/>
                <w:szCs w:val="24"/>
              </w:rPr>
              <w:t>。支持多格式数据存储，并提供历史记录查询。自动生成心电图报告，支持电子签名与打印。</w:t>
            </w:r>
          </w:p>
          <w:p w14:paraId="678E4EE7">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支持远程心电中心的建立，所有数据都存储到资源共享中心，并实现县域电子调阅报告</w:t>
            </w:r>
          </w:p>
          <w:p w14:paraId="349071E9">
            <w:pPr>
              <w:widowControl/>
              <w:jc w:val="left"/>
              <w:rPr>
                <w:rFonts w:ascii="仿宋_GB2312" w:hAnsi="仿宋_GB2312" w:eastAsia="仿宋_GB2312" w:cs="仿宋_GB2312"/>
                <w:color w:val="000000"/>
                <w:szCs w:val="24"/>
              </w:rPr>
            </w:pPr>
          </w:p>
        </w:tc>
        <w:tc>
          <w:tcPr>
            <w:tcW w:w="2058" w:type="dxa"/>
            <w:tcBorders>
              <w:top w:val="nil"/>
              <w:left w:val="nil"/>
              <w:bottom w:val="single" w:color="auto" w:sz="4" w:space="0"/>
              <w:right w:val="single" w:color="auto" w:sz="4" w:space="0"/>
            </w:tcBorders>
            <w:shd w:val="clear" w:color="auto" w:fill="auto"/>
            <w:vAlign w:val="center"/>
          </w:tcPr>
          <w:p w14:paraId="1E9586EC">
            <w:pPr>
              <w:widowControl/>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费用含</w:t>
            </w:r>
            <w:r>
              <w:rPr>
                <w:rFonts w:ascii="仿宋_GB2312" w:hAnsi="仿宋_GB2312" w:eastAsia="仿宋_GB2312" w:cs="仿宋_GB2312"/>
                <w:color w:val="000000"/>
                <w:szCs w:val="24"/>
              </w:rPr>
              <w:t>25家基层卫生院心电平台分布式部署费用</w:t>
            </w:r>
          </w:p>
        </w:tc>
      </w:tr>
      <w:tr w14:paraId="337F22BA">
        <w:tblPrEx>
          <w:tblCellMar>
            <w:top w:w="0" w:type="dxa"/>
            <w:left w:w="108" w:type="dxa"/>
            <w:bottom w:w="0" w:type="dxa"/>
            <w:right w:w="108" w:type="dxa"/>
          </w:tblCellMar>
        </w:tblPrEx>
        <w:trPr>
          <w:trHeight w:val="465"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CF2D10">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71216814">
            <w:pPr>
              <w:widowControl/>
              <w:jc w:val="center"/>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64D7F45E">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中心心电系统—子项目二区域麻醉（舒适化）远程监护信息平台</w:t>
            </w:r>
          </w:p>
        </w:tc>
        <w:tc>
          <w:tcPr>
            <w:tcW w:w="6590" w:type="dxa"/>
            <w:tcBorders>
              <w:top w:val="nil"/>
              <w:left w:val="nil"/>
              <w:bottom w:val="single" w:color="auto" w:sz="4" w:space="0"/>
              <w:right w:val="single" w:color="auto" w:sz="4" w:space="0"/>
            </w:tcBorders>
            <w:shd w:val="clear" w:color="auto" w:fill="auto"/>
            <w:vAlign w:val="center"/>
          </w:tcPr>
          <w:p w14:paraId="7CEB9C92">
            <w:pPr>
              <w:widowControl/>
              <w:jc w:val="left"/>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区域麻醉（舒适化）远程监护信息平台实现医联体内各级医疗机构麻醉及监护相关信息的记录、管理与统计。实现院前、术前、术中、复苏的工作全流程信息化、远程化、自动化。平台需结合无线多参数生命体征监护设备为麻醉监护安全保驾护航，扫除监护盲区。项目覆盖医联体单位的全流程麻醉业务，形成业务闭环，通过远程生命体征实时监护形成生命安全守护闭环。通过“双闭环”管理做到麻醉全程流程数据可追溯。同时通过大数据分析与人工智能构建区域麻醉大数据AI质控平台，有效提高区域医联体麻醉管理水平，优化舒适化场景的麻醉工作流程，提高整体工作效率，降低麻醉风险。</w:t>
            </w:r>
          </w:p>
        </w:tc>
        <w:tc>
          <w:tcPr>
            <w:tcW w:w="2058" w:type="dxa"/>
            <w:tcBorders>
              <w:top w:val="nil"/>
              <w:left w:val="nil"/>
              <w:bottom w:val="single" w:color="auto" w:sz="4" w:space="0"/>
              <w:right w:val="single" w:color="auto" w:sz="4" w:space="0"/>
            </w:tcBorders>
            <w:shd w:val="clear" w:color="auto" w:fill="auto"/>
            <w:vAlign w:val="center"/>
          </w:tcPr>
          <w:p w14:paraId="62781309">
            <w:pPr>
              <w:widowControl/>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区域麻醉（舒适化）远程监护信息平台1套，覆盖医联体院前远程实时干预、麻醉质控数据及舒适化场景管理的麻醉工作全流程。平台含无线多参数生命体征监护设备30套，每套包含无线血氧监测模块、无线心电监测模块、无线血压监测模块、无线体温监测模块</w:t>
            </w:r>
            <w:r>
              <w:rPr>
                <w:rFonts w:hint="eastAsia" w:cs="仿宋_GB2312" w:asciiTheme="minorEastAsia" w:hAnsiTheme="minorEastAsia"/>
                <w:color w:val="000000"/>
                <w:szCs w:val="24"/>
              </w:rPr>
              <w:t>。</w:t>
            </w:r>
          </w:p>
        </w:tc>
      </w:tr>
      <w:tr w14:paraId="7BC035AF">
        <w:tblPrEx>
          <w:tblCellMar>
            <w:top w:w="0" w:type="dxa"/>
            <w:left w:w="108" w:type="dxa"/>
            <w:bottom w:w="0" w:type="dxa"/>
            <w:right w:w="108" w:type="dxa"/>
          </w:tblCellMar>
        </w:tblPrEx>
        <w:trPr>
          <w:trHeight w:val="465" w:hRule="atLeast"/>
        </w:trPr>
        <w:tc>
          <w:tcPr>
            <w:tcW w:w="783" w:type="dxa"/>
            <w:vMerge w:val="restart"/>
            <w:tcBorders>
              <w:top w:val="single" w:color="auto" w:sz="4" w:space="0"/>
              <w:left w:val="single" w:color="auto" w:sz="4" w:space="0"/>
              <w:right w:val="single" w:color="auto" w:sz="4" w:space="0"/>
            </w:tcBorders>
            <w:shd w:val="clear" w:color="auto" w:fill="auto"/>
            <w:noWrap/>
            <w:vAlign w:val="center"/>
          </w:tcPr>
          <w:p w14:paraId="5B769CB2">
            <w:pPr>
              <w:widowControl/>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 w:val="24"/>
                <w:szCs w:val="24"/>
              </w:rPr>
              <w:t>2</w:t>
            </w:r>
          </w:p>
        </w:tc>
        <w:tc>
          <w:tcPr>
            <w:tcW w:w="2369" w:type="dxa"/>
            <w:vMerge w:val="restart"/>
            <w:tcBorders>
              <w:top w:val="single" w:color="auto" w:sz="4" w:space="0"/>
              <w:left w:val="nil"/>
              <w:right w:val="single" w:color="auto" w:sz="4" w:space="0"/>
            </w:tcBorders>
            <w:shd w:val="clear" w:color="auto" w:fill="auto"/>
            <w:vAlign w:val="center"/>
          </w:tcPr>
          <w:p w14:paraId="7066521F">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医共体影像</w:t>
            </w:r>
            <w:r>
              <w:rPr>
                <w:rFonts w:ascii="仿宋_GB2312" w:hAnsi="仿宋_GB2312" w:eastAsia="仿宋_GB2312" w:cs="仿宋_GB2312"/>
                <w:color w:val="000000"/>
                <w:sz w:val="24"/>
                <w:szCs w:val="24"/>
              </w:rPr>
              <w:t>AI质控平台</w:t>
            </w:r>
          </w:p>
        </w:tc>
        <w:tc>
          <w:tcPr>
            <w:tcW w:w="2698" w:type="dxa"/>
            <w:tcBorders>
              <w:top w:val="nil"/>
              <w:left w:val="nil"/>
              <w:bottom w:val="single" w:color="auto" w:sz="4" w:space="0"/>
              <w:right w:val="single" w:color="auto" w:sz="4" w:space="0"/>
            </w:tcBorders>
            <w:shd w:val="clear" w:color="auto" w:fill="auto"/>
            <w:vAlign w:val="center"/>
          </w:tcPr>
          <w:p w14:paraId="656DD20F">
            <w:pPr>
              <w:widowControl/>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DR影像质控AI开发</w:t>
            </w:r>
            <w:r>
              <w:rPr>
                <w:rFonts w:hint="eastAsia" w:ascii="仿宋_GB2312" w:hAnsi="仿宋_GB2312" w:eastAsia="仿宋_GB2312" w:cs="仿宋_GB2312"/>
                <w:color w:val="000000"/>
                <w:sz w:val="24"/>
                <w:szCs w:val="24"/>
              </w:rPr>
              <w:t>（胸部、膝关节、腰椎）</w:t>
            </w:r>
          </w:p>
        </w:tc>
        <w:tc>
          <w:tcPr>
            <w:tcW w:w="6590" w:type="dxa"/>
            <w:tcBorders>
              <w:top w:val="nil"/>
              <w:left w:val="nil"/>
              <w:bottom w:val="single" w:color="auto" w:sz="4" w:space="0"/>
              <w:right w:val="single" w:color="auto" w:sz="4" w:space="0"/>
            </w:tcBorders>
            <w:shd w:val="clear" w:color="auto" w:fill="auto"/>
            <w:vAlign w:val="center"/>
          </w:tcPr>
          <w:p w14:paraId="206959F6">
            <w:pPr>
              <w:widowControl/>
              <w:jc w:val="left"/>
              <w:rPr>
                <w:rFonts w:ascii="仿宋_GB2312" w:hAnsi="仿宋_GB2312" w:eastAsia="仿宋_GB2312" w:cs="仿宋_GB2312"/>
                <w:szCs w:val="24"/>
              </w:rPr>
            </w:pPr>
            <w:r>
              <w:rPr>
                <w:rFonts w:hint="eastAsia" w:ascii="仿宋_GB2312" w:hAnsi="仿宋_GB2312" w:eastAsia="仿宋_GB2312" w:cs="仿宋_GB2312"/>
                <w:szCs w:val="24"/>
              </w:rPr>
              <w:t>自动检测规范性，实时推送质控问题，问题图像是否重拍建议，以及提供标准化操作指引；低端设备兼容。</w:t>
            </w:r>
          </w:p>
        </w:tc>
        <w:tc>
          <w:tcPr>
            <w:tcW w:w="2058" w:type="dxa"/>
            <w:tcBorders>
              <w:top w:val="nil"/>
              <w:left w:val="nil"/>
              <w:bottom w:val="single" w:color="auto" w:sz="4" w:space="0"/>
              <w:right w:val="single" w:color="auto" w:sz="4" w:space="0"/>
            </w:tcBorders>
            <w:shd w:val="clear" w:color="auto" w:fill="auto"/>
            <w:vAlign w:val="center"/>
          </w:tcPr>
          <w:p w14:paraId="04ACFF06">
            <w:pPr>
              <w:widowControl/>
              <w:jc w:val="center"/>
              <w:rPr>
                <w:rFonts w:ascii="仿宋_GB2312" w:hAnsi="仿宋_GB2312" w:eastAsia="仿宋_GB2312" w:cs="仿宋_GB2312"/>
                <w:color w:val="000000"/>
                <w:szCs w:val="24"/>
              </w:rPr>
            </w:pPr>
            <w:r>
              <w:rPr>
                <w:rFonts w:ascii="仿宋_GB2312" w:hAnsi="仿宋_GB2312" w:eastAsia="仿宋_GB2312" w:cs="仿宋_GB2312"/>
                <w:color w:val="000000"/>
                <w:szCs w:val="24"/>
              </w:rPr>
              <w:t>AI相关平台与子模块按照建设一套，医共体所有成员单位共享共用的形式。</w:t>
            </w:r>
          </w:p>
        </w:tc>
      </w:tr>
      <w:tr w14:paraId="624C9E7E">
        <w:tblPrEx>
          <w:tblCellMar>
            <w:top w:w="0" w:type="dxa"/>
            <w:left w:w="108" w:type="dxa"/>
            <w:bottom w:w="0" w:type="dxa"/>
            <w:right w:w="108" w:type="dxa"/>
          </w:tblCellMar>
        </w:tblPrEx>
        <w:trPr>
          <w:trHeight w:val="465" w:hRule="atLeast"/>
        </w:trPr>
        <w:tc>
          <w:tcPr>
            <w:tcW w:w="783" w:type="dxa"/>
            <w:vMerge w:val="continue"/>
            <w:tcBorders>
              <w:left w:val="single" w:color="auto" w:sz="4" w:space="0"/>
              <w:bottom w:val="single" w:color="auto" w:sz="4" w:space="0"/>
              <w:right w:val="single" w:color="auto" w:sz="4" w:space="0"/>
            </w:tcBorders>
            <w:shd w:val="clear" w:color="auto" w:fill="auto"/>
            <w:noWrap/>
            <w:vAlign w:val="center"/>
          </w:tcPr>
          <w:p w14:paraId="498AC12C">
            <w:pPr>
              <w:widowControl/>
              <w:jc w:val="center"/>
              <w:rPr>
                <w:rFonts w:ascii="仿宋_GB2312" w:hAnsi="仿宋_GB2312" w:eastAsia="仿宋_GB2312" w:cs="仿宋_GB2312"/>
                <w:color w:val="000000"/>
                <w:sz w:val="24"/>
                <w:szCs w:val="24"/>
              </w:rPr>
            </w:pPr>
          </w:p>
        </w:tc>
        <w:tc>
          <w:tcPr>
            <w:tcW w:w="2369" w:type="dxa"/>
            <w:vMerge w:val="continue"/>
            <w:tcBorders>
              <w:left w:val="nil"/>
              <w:bottom w:val="single" w:color="auto" w:sz="4" w:space="0"/>
              <w:right w:val="single" w:color="auto" w:sz="4" w:space="0"/>
            </w:tcBorders>
            <w:shd w:val="clear" w:color="auto" w:fill="auto"/>
            <w:vAlign w:val="center"/>
          </w:tcPr>
          <w:p w14:paraId="6B219E68">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vAlign w:val="center"/>
          </w:tcPr>
          <w:p w14:paraId="03C6EB6E">
            <w:pPr>
              <w:widowControl/>
              <w:jc w:val="left"/>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CT影像质控AI开发（头颅、胸部、腹部）</w:t>
            </w:r>
          </w:p>
        </w:tc>
        <w:tc>
          <w:tcPr>
            <w:tcW w:w="6590" w:type="dxa"/>
            <w:tcBorders>
              <w:top w:val="nil"/>
              <w:left w:val="nil"/>
              <w:bottom w:val="single" w:color="auto" w:sz="4" w:space="0"/>
              <w:right w:val="single" w:color="auto" w:sz="4" w:space="0"/>
            </w:tcBorders>
            <w:shd w:val="clear" w:color="auto" w:fill="auto"/>
            <w:vAlign w:val="center"/>
          </w:tcPr>
          <w:p w14:paraId="014280F4">
            <w:pPr>
              <w:widowControl/>
              <w:jc w:val="left"/>
              <w:rPr>
                <w:rFonts w:ascii="仿宋_GB2312" w:hAnsi="仿宋_GB2312" w:eastAsia="仿宋_GB2312" w:cs="仿宋_GB2312"/>
                <w:szCs w:val="24"/>
              </w:rPr>
            </w:pPr>
            <w:r>
              <w:rPr>
                <w:rFonts w:hint="eastAsia" w:ascii="仿宋_GB2312" w:hAnsi="仿宋_GB2312" w:eastAsia="仿宋_GB2312" w:cs="仿宋_GB2312"/>
                <w:szCs w:val="24"/>
              </w:rPr>
              <w:t>自动识别扫描范围缺失、运动伪影拦截、金属标记、摆位偏差等质控问题；实时推送质控问题，问题图像是否重拍建议，以及提供标准化操作指引；低端设备兼容。</w:t>
            </w:r>
          </w:p>
        </w:tc>
        <w:tc>
          <w:tcPr>
            <w:tcW w:w="2058" w:type="dxa"/>
            <w:tcBorders>
              <w:top w:val="nil"/>
              <w:left w:val="nil"/>
              <w:bottom w:val="single" w:color="auto" w:sz="4" w:space="0"/>
              <w:right w:val="single" w:color="auto" w:sz="4" w:space="0"/>
            </w:tcBorders>
            <w:shd w:val="clear" w:color="auto" w:fill="auto"/>
            <w:vAlign w:val="center"/>
          </w:tcPr>
          <w:p w14:paraId="6F59C7A3">
            <w:pPr>
              <w:widowControl/>
              <w:jc w:val="center"/>
              <w:rPr>
                <w:rFonts w:ascii="仿宋_GB2312" w:hAnsi="仿宋_GB2312" w:eastAsia="仿宋_GB2312" w:cs="仿宋_GB2312"/>
                <w:color w:val="000000"/>
                <w:szCs w:val="24"/>
              </w:rPr>
            </w:pPr>
          </w:p>
        </w:tc>
      </w:tr>
      <w:tr w14:paraId="33357E71">
        <w:tblPrEx>
          <w:tblCellMar>
            <w:top w:w="0" w:type="dxa"/>
            <w:left w:w="108" w:type="dxa"/>
            <w:bottom w:w="0" w:type="dxa"/>
            <w:right w:w="108" w:type="dxa"/>
          </w:tblCellMar>
        </w:tblPrEx>
        <w:trPr>
          <w:trHeight w:val="294" w:hRule="atLeast"/>
        </w:trPr>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D876BC">
            <w:pPr>
              <w:widowControl/>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 w:val="24"/>
                <w:szCs w:val="24"/>
              </w:rPr>
              <w:t>3</w:t>
            </w:r>
          </w:p>
        </w:tc>
        <w:tc>
          <w:tcPr>
            <w:tcW w:w="2369" w:type="dxa"/>
            <w:vMerge w:val="restart"/>
            <w:tcBorders>
              <w:top w:val="single" w:color="auto" w:sz="4" w:space="0"/>
              <w:left w:val="nil"/>
              <w:bottom w:val="single" w:color="auto" w:sz="4" w:space="0"/>
              <w:right w:val="single" w:color="auto" w:sz="4" w:space="0"/>
            </w:tcBorders>
            <w:shd w:val="clear" w:color="auto" w:fill="auto"/>
            <w:vAlign w:val="center"/>
          </w:tcPr>
          <w:p w14:paraId="664FBD05">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医共体危急重症</w:t>
            </w:r>
            <w:r>
              <w:rPr>
                <w:rFonts w:ascii="仿宋_GB2312" w:hAnsi="仿宋_GB2312" w:eastAsia="仿宋_GB2312" w:cs="仿宋_GB2312"/>
                <w:color w:val="000000"/>
                <w:sz w:val="24"/>
                <w:szCs w:val="24"/>
              </w:rPr>
              <w:t>AI辅助诊断模块</w:t>
            </w:r>
          </w:p>
        </w:tc>
        <w:tc>
          <w:tcPr>
            <w:tcW w:w="2698" w:type="dxa"/>
            <w:tcBorders>
              <w:top w:val="nil"/>
              <w:left w:val="nil"/>
              <w:bottom w:val="single" w:color="auto" w:sz="4" w:space="0"/>
              <w:right w:val="single" w:color="auto" w:sz="4" w:space="0"/>
            </w:tcBorders>
            <w:shd w:val="clear" w:color="auto" w:fill="auto"/>
          </w:tcPr>
          <w:p w14:paraId="2A184986">
            <w:pPr>
              <w:widowControl/>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骨折辅助诊断</w:t>
            </w:r>
            <w:r>
              <w:rPr>
                <w:rFonts w:ascii="仿宋_GB2312" w:hAnsi="仿宋_GB2312" w:eastAsia="仿宋_GB2312" w:cs="仿宋_GB2312"/>
                <w:color w:val="000000"/>
                <w:sz w:val="24"/>
                <w:szCs w:val="24"/>
              </w:rPr>
              <w:t>AI（脊椎、四肢、骨盆）</w:t>
            </w:r>
          </w:p>
        </w:tc>
        <w:tc>
          <w:tcPr>
            <w:tcW w:w="6590" w:type="dxa"/>
            <w:tcBorders>
              <w:top w:val="nil"/>
              <w:left w:val="nil"/>
              <w:bottom w:val="single" w:color="auto" w:sz="4" w:space="0"/>
              <w:right w:val="single" w:color="auto" w:sz="4" w:space="0"/>
            </w:tcBorders>
            <w:shd w:val="clear" w:color="auto" w:fill="auto"/>
            <w:vAlign w:val="center"/>
          </w:tcPr>
          <w:p w14:paraId="1C1367E6">
            <w:pPr>
              <w:widowControl/>
              <w:jc w:val="left"/>
              <w:rPr>
                <w:rFonts w:ascii="仿宋_GB2312" w:hAnsi="仿宋_GB2312" w:eastAsia="仿宋_GB2312" w:cs="仿宋_GB2312"/>
                <w:szCs w:val="24"/>
              </w:rPr>
            </w:pPr>
            <w:r>
              <w:rPr>
                <w:rFonts w:hint="eastAsia" w:ascii="仿宋_GB2312" w:hAnsi="仿宋_GB2312" w:eastAsia="仿宋_GB2312" w:cs="仿宋_GB2312"/>
                <w:szCs w:val="24"/>
              </w:rPr>
              <w:t>自动标注骨折线，分型建议，合并损伤提示。</w:t>
            </w:r>
          </w:p>
        </w:tc>
        <w:tc>
          <w:tcPr>
            <w:tcW w:w="2058" w:type="dxa"/>
            <w:vMerge w:val="restart"/>
            <w:tcBorders>
              <w:top w:val="single" w:color="auto" w:sz="4" w:space="0"/>
              <w:left w:val="nil"/>
              <w:bottom w:val="single" w:color="auto" w:sz="4" w:space="0"/>
              <w:right w:val="single" w:color="auto" w:sz="4" w:space="0"/>
            </w:tcBorders>
            <w:shd w:val="clear" w:color="auto" w:fill="auto"/>
            <w:vAlign w:val="center"/>
          </w:tcPr>
          <w:p w14:paraId="2F85986E">
            <w:pPr>
              <w:widowControl/>
              <w:jc w:val="center"/>
              <w:rPr>
                <w:rFonts w:ascii="仿宋_GB2312" w:hAnsi="仿宋_GB2312" w:eastAsia="仿宋_GB2312" w:cs="仿宋_GB2312"/>
                <w:color w:val="000000"/>
                <w:szCs w:val="24"/>
              </w:rPr>
            </w:pPr>
          </w:p>
        </w:tc>
      </w:tr>
      <w:tr w14:paraId="66C673DD">
        <w:tblPrEx>
          <w:tblCellMar>
            <w:top w:w="0" w:type="dxa"/>
            <w:left w:w="108" w:type="dxa"/>
            <w:bottom w:w="0" w:type="dxa"/>
            <w:right w:w="108" w:type="dxa"/>
          </w:tblCellMar>
        </w:tblPrEx>
        <w:trPr>
          <w:trHeight w:val="288"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5DE6C">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76528EDA">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21AD6B01">
            <w:pPr>
              <w:widowControl/>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气胸辅助诊断</w:t>
            </w:r>
            <w:r>
              <w:rPr>
                <w:rFonts w:ascii="仿宋_GB2312" w:hAnsi="仿宋_GB2312" w:eastAsia="仿宋_GB2312" w:cs="仿宋_GB2312"/>
                <w:color w:val="000000"/>
                <w:sz w:val="24"/>
                <w:szCs w:val="24"/>
              </w:rPr>
              <w:t>AI</w:t>
            </w:r>
          </w:p>
        </w:tc>
        <w:tc>
          <w:tcPr>
            <w:tcW w:w="6590" w:type="dxa"/>
            <w:tcBorders>
              <w:top w:val="nil"/>
              <w:left w:val="nil"/>
              <w:bottom w:val="single" w:color="auto" w:sz="4" w:space="0"/>
              <w:right w:val="single" w:color="auto" w:sz="4" w:space="0"/>
            </w:tcBorders>
            <w:shd w:val="clear" w:color="auto" w:fill="auto"/>
            <w:vAlign w:val="center"/>
          </w:tcPr>
          <w:p w14:paraId="583F352F">
            <w:pPr>
              <w:widowControl/>
              <w:jc w:val="left"/>
              <w:rPr>
                <w:rFonts w:ascii="仿宋_GB2312" w:hAnsi="仿宋_GB2312" w:eastAsia="仿宋_GB2312" w:cs="仿宋_GB2312"/>
                <w:szCs w:val="24"/>
              </w:rPr>
            </w:pPr>
            <w:r>
              <w:rPr>
                <w:rFonts w:hint="eastAsia" w:ascii="仿宋_GB2312" w:hAnsi="仿宋_GB2312" w:eastAsia="仿宋_GB2312" w:cs="仿宋_GB2312"/>
                <w:szCs w:val="24"/>
              </w:rPr>
              <w:t>气胸范围定量测量，张力性气胸特征识别。</w:t>
            </w:r>
          </w:p>
        </w:tc>
        <w:tc>
          <w:tcPr>
            <w:tcW w:w="2058" w:type="dxa"/>
            <w:vMerge w:val="continue"/>
            <w:tcBorders>
              <w:top w:val="single" w:color="auto" w:sz="4" w:space="0"/>
              <w:left w:val="nil"/>
              <w:bottom w:val="single" w:color="auto" w:sz="4" w:space="0"/>
              <w:right w:val="single" w:color="auto" w:sz="4" w:space="0"/>
            </w:tcBorders>
            <w:shd w:val="clear" w:color="auto" w:fill="auto"/>
            <w:vAlign w:val="center"/>
          </w:tcPr>
          <w:p w14:paraId="0BE83859">
            <w:pPr>
              <w:widowControl/>
              <w:jc w:val="center"/>
              <w:rPr>
                <w:rFonts w:ascii="仿宋_GB2312" w:hAnsi="仿宋_GB2312" w:eastAsia="仿宋_GB2312" w:cs="仿宋_GB2312"/>
                <w:color w:val="000000"/>
                <w:szCs w:val="24"/>
              </w:rPr>
            </w:pPr>
          </w:p>
        </w:tc>
      </w:tr>
      <w:tr w14:paraId="64CF8217">
        <w:tblPrEx>
          <w:tblCellMar>
            <w:top w:w="0" w:type="dxa"/>
            <w:left w:w="108" w:type="dxa"/>
            <w:bottom w:w="0" w:type="dxa"/>
            <w:right w:w="108" w:type="dxa"/>
          </w:tblCellMar>
        </w:tblPrEx>
        <w:trPr>
          <w:trHeight w:val="288"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57D4B4">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5287DB0D">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6AF6839F">
            <w:pPr>
              <w:widowControl/>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消化道穿孔辅助诊断</w:t>
            </w:r>
            <w:r>
              <w:rPr>
                <w:rFonts w:ascii="仿宋_GB2312" w:hAnsi="仿宋_GB2312" w:eastAsia="仿宋_GB2312" w:cs="仿宋_GB2312"/>
                <w:color w:val="000000"/>
                <w:sz w:val="24"/>
                <w:szCs w:val="24"/>
              </w:rPr>
              <w:t>AI</w:t>
            </w:r>
          </w:p>
        </w:tc>
        <w:tc>
          <w:tcPr>
            <w:tcW w:w="6590" w:type="dxa"/>
            <w:tcBorders>
              <w:top w:val="nil"/>
              <w:left w:val="nil"/>
              <w:bottom w:val="single" w:color="auto" w:sz="4" w:space="0"/>
              <w:right w:val="single" w:color="auto" w:sz="4" w:space="0"/>
            </w:tcBorders>
            <w:shd w:val="clear" w:color="auto" w:fill="auto"/>
            <w:vAlign w:val="center"/>
          </w:tcPr>
          <w:p w14:paraId="40EB5D83">
            <w:pPr>
              <w:widowControl/>
              <w:jc w:val="left"/>
              <w:rPr>
                <w:rFonts w:ascii="仿宋_GB2312" w:hAnsi="仿宋_GB2312" w:eastAsia="仿宋_GB2312" w:cs="仿宋_GB2312"/>
                <w:szCs w:val="24"/>
              </w:rPr>
            </w:pPr>
            <w:r>
              <w:rPr>
                <w:rFonts w:hint="eastAsia" w:ascii="仿宋_GB2312" w:hAnsi="仿宋_GB2312" w:eastAsia="仿宋_GB2312" w:cs="仿宋_GB2312"/>
                <w:szCs w:val="24"/>
              </w:rPr>
              <w:t>游离气体定位， 穿孔部位概率预测。</w:t>
            </w:r>
          </w:p>
        </w:tc>
        <w:tc>
          <w:tcPr>
            <w:tcW w:w="2058" w:type="dxa"/>
            <w:vMerge w:val="continue"/>
            <w:tcBorders>
              <w:top w:val="single" w:color="auto" w:sz="4" w:space="0"/>
              <w:left w:val="nil"/>
              <w:bottom w:val="single" w:color="auto" w:sz="4" w:space="0"/>
              <w:right w:val="single" w:color="auto" w:sz="4" w:space="0"/>
            </w:tcBorders>
            <w:shd w:val="clear" w:color="auto" w:fill="auto"/>
            <w:vAlign w:val="center"/>
          </w:tcPr>
          <w:p w14:paraId="206F31A0">
            <w:pPr>
              <w:widowControl/>
              <w:jc w:val="center"/>
              <w:rPr>
                <w:rFonts w:ascii="仿宋_GB2312" w:hAnsi="仿宋_GB2312" w:eastAsia="仿宋_GB2312" w:cs="仿宋_GB2312"/>
                <w:color w:val="000000"/>
                <w:szCs w:val="24"/>
              </w:rPr>
            </w:pPr>
          </w:p>
        </w:tc>
      </w:tr>
      <w:tr w14:paraId="4617B04B">
        <w:tblPrEx>
          <w:tblCellMar>
            <w:top w:w="0" w:type="dxa"/>
            <w:left w:w="108" w:type="dxa"/>
            <w:bottom w:w="0" w:type="dxa"/>
            <w:right w:w="108" w:type="dxa"/>
          </w:tblCellMar>
        </w:tblPrEx>
        <w:trPr>
          <w:trHeight w:val="288"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EAAB0">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38A6DEDB">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5D23CC0E">
            <w:pPr>
              <w:widowControl/>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肠梗阻辅助诊断</w:t>
            </w:r>
            <w:r>
              <w:rPr>
                <w:rFonts w:ascii="仿宋_GB2312" w:hAnsi="仿宋_GB2312" w:eastAsia="仿宋_GB2312" w:cs="仿宋_GB2312"/>
                <w:color w:val="000000"/>
                <w:sz w:val="24"/>
                <w:szCs w:val="24"/>
              </w:rPr>
              <w:t>AI</w:t>
            </w:r>
          </w:p>
        </w:tc>
        <w:tc>
          <w:tcPr>
            <w:tcW w:w="6590" w:type="dxa"/>
            <w:tcBorders>
              <w:top w:val="nil"/>
              <w:left w:val="nil"/>
              <w:bottom w:val="single" w:color="auto" w:sz="4" w:space="0"/>
              <w:right w:val="single" w:color="auto" w:sz="4" w:space="0"/>
            </w:tcBorders>
            <w:shd w:val="clear" w:color="auto" w:fill="auto"/>
            <w:vAlign w:val="center"/>
          </w:tcPr>
          <w:p w14:paraId="74C044E2">
            <w:pPr>
              <w:widowControl/>
              <w:jc w:val="left"/>
              <w:rPr>
                <w:rFonts w:ascii="仿宋_GB2312" w:hAnsi="仿宋_GB2312" w:eastAsia="仿宋_GB2312" w:cs="仿宋_GB2312"/>
                <w:szCs w:val="24"/>
              </w:rPr>
            </w:pPr>
            <w:r>
              <w:rPr>
                <w:rFonts w:hint="eastAsia" w:ascii="仿宋_GB2312" w:hAnsi="仿宋_GB2312" w:eastAsia="仿宋_GB2312" w:cs="仿宋_GB2312"/>
                <w:szCs w:val="24"/>
              </w:rPr>
              <w:t>梗阻部位识别，机械性或麻痹性梗阻判别，肠缺血征象检测。</w:t>
            </w:r>
          </w:p>
        </w:tc>
        <w:tc>
          <w:tcPr>
            <w:tcW w:w="2058" w:type="dxa"/>
            <w:vMerge w:val="continue"/>
            <w:tcBorders>
              <w:top w:val="single" w:color="auto" w:sz="4" w:space="0"/>
              <w:left w:val="nil"/>
              <w:bottom w:val="single" w:color="auto" w:sz="4" w:space="0"/>
              <w:right w:val="single" w:color="auto" w:sz="4" w:space="0"/>
            </w:tcBorders>
            <w:shd w:val="clear" w:color="auto" w:fill="auto"/>
            <w:vAlign w:val="center"/>
          </w:tcPr>
          <w:p w14:paraId="0F1F7D54">
            <w:pPr>
              <w:widowControl/>
              <w:jc w:val="center"/>
              <w:rPr>
                <w:rFonts w:ascii="仿宋_GB2312" w:hAnsi="仿宋_GB2312" w:eastAsia="仿宋_GB2312" w:cs="仿宋_GB2312"/>
                <w:color w:val="000000"/>
                <w:szCs w:val="24"/>
              </w:rPr>
            </w:pPr>
          </w:p>
        </w:tc>
      </w:tr>
      <w:tr w14:paraId="2101C986">
        <w:tblPrEx>
          <w:tblCellMar>
            <w:top w:w="0" w:type="dxa"/>
            <w:left w:w="108" w:type="dxa"/>
            <w:bottom w:w="0" w:type="dxa"/>
            <w:right w:w="108" w:type="dxa"/>
          </w:tblCellMar>
        </w:tblPrEx>
        <w:trPr>
          <w:trHeight w:val="288"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3109B">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5D30B83D">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7425BB6D">
            <w:pPr>
              <w:widowControl/>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主动脉疾病辅助诊断</w:t>
            </w:r>
            <w:r>
              <w:rPr>
                <w:rFonts w:ascii="仿宋_GB2312" w:hAnsi="仿宋_GB2312" w:eastAsia="仿宋_GB2312" w:cs="仿宋_GB2312"/>
                <w:color w:val="000000"/>
                <w:sz w:val="24"/>
                <w:szCs w:val="24"/>
              </w:rPr>
              <w:t>AI</w:t>
            </w:r>
          </w:p>
        </w:tc>
        <w:tc>
          <w:tcPr>
            <w:tcW w:w="6590" w:type="dxa"/>
            <w:tcBorders>
              <w:top w:val="nil"/>
              <w:left w:val="nil"/>
              <w:bottom w:val="single" w:color="auto" w:sz="4" w:space="0"/>
              <w:right w:val="single" w:color="auto" w:sz="4" w:space="0"/>
            </w:tcBorders>
            <w:shd w:val="clear" w:color="auto" w:fill="auto"/>
            <w:vAlign w:val="center"/>
          </w:tcPr>
          <w:p w14:paraId="3118E343">
            <w:pPr>
              <w:widowControl/>
              <w:jc w:val="left"/>
              <w:rPr>
                <w:rFonts w:ascii="仿宋_GB2312" w:hAnsi="仿宋_GB2312" w:eastAsia="仿宋_GB2312" w:cs="仿宋_GB2312"/>
                <w:szCs w:val="24"/>
              </w:rPr>
            </w:pPr>
            <w:r>
              <w:rPr>
                <w:rFonts w:hint="eastAsia" w:ascii="仿宋_GB2312" w:hAnsi="仿宋_GB2312" w:eastAsia="仿宋_GB2312" w:cs="仿宋_GB2312"/>
                <w:szCs w:val="24"/>
              </w:rPr>
              <w:t>动脉瘤直径自动测量，主动脉夹层DeBakey分型，破裂风险评分。</w:t>
            </w:r>
          </w:p>
        </w:tc>
        <w:tc>
          <w:tcPr>
            <w:tcW w:w="2058" w:type="dxa"/>
            <w:vMerge w:val="continue"/>
            <w:tcBorders>
              <w:top w:val="single" w:color="auto" w:sz="4" w:space="0"/>
              <w:left w:val="nil"/>
              <w:bottom w:val="single" w:color="auto" w:sz="4" w:space="0"/>
              <w:right w:val="single" w:color="auto" w:sz="4" w:space="0"/>
            </w:tcBorders>
            <w:shd w:val="clear" w:color="auto" w:fill="auto"/>
            <w:vAlign w:val="center"/>
          </w:tcPr>
          <w:p w14:paraId="22D358C9">
            <w:pPr>
              <w:widowControl/>
              <w:jc w:val="center"/>
              <w:rPr>
                <w:rFonts w:ascii="仿宋_GB2312" w:hAnsi="仿宋_GB2312" w:eastAsia="仿宋_GB2312" w:cs="仿宋_GB2312"/>
                <w:color w:val="000000"/>
                <w:szCs w:val="24"/>
              </w:rPr>
            </w:pPr>
          </w:p>
        </w:tc>
      </w:tr>
      <w:tr w14:paraId="668B2E0F">
        <w:tblPrEx>
          <w:tblCellMar>
            <w:top w:w="0" w:type="dxa"/>
            <w:left w:w="108" w:type="dxa"/>
            <w:bottom w:w="0" w:type="dxa"/>
            <w:right w:w="108" w:type="dxa"/>
          </w:tblCellMar>
        </w:tblPrEx>
        <w:trPr>
          <w:trHeight w:val="288"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0995D">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3D9C1FA0">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34207E44">
            <w:pPr>
              <w:widowControl/>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肺动脉疾病辅助诊断</w:t>
            </w:r>
            <w:r>
              <w:rPr>
                <w:rFonts w:ascii="仿宋_GB2312" w:hAnsi="仿宋_GB2312" w:eastAsia="仿宋_GB2312" w:cs="仿宋_GB2312"/>
                <w:color w:val="000000"/>
                <w:sz w:val="24"/>
                <w:szCs w:val="24"/>
              </w:rPr>
              <w:t>AI</w:t>
            </w:r>
          </w:p>
        </w:tc>
        <w:tc>
          <w:tcPr>
            <w:tcW w:w="6590" w:type="dxa"/>
            <w:tcBorders>
              <w:top w:val="nil"/>
              <w:left w:val="nil"/>
              <w:bottom w:val="single" w:color="auto" w:sz="4" w:space="0"/>
              <w:right w:val="single" w:color="auto" w:sz="4" w:space="0"/>
            </w:tcBorders>
            <w:shd w:val="clear" w:color="auto" w:fill="auto"/>
            <w:vAlign w:val="center"/>
          </w:tcPr>
          <w:p w14:paraId="5CB90A1B">
            <w:pPr>
              <w:widowControl/>
              <w:jc w:val="left"/>
              <w:rPr>
                <w:rFonts w:ascii="仿宋_GB2312" w:hAnsi="仿宋_GB2312" w:eastAsia="仿宋_GB2312" w:cs="仿宋_GB2312"/>
                <w:szCs w:val="24"/>
              </w:rPr>
            </w:pPr>
            <w:r>
              <w:rPr>
                <w:rFonts w:hint="eastAsia" w:ascii="仿宋_GB2312" w:hAnsi="仿宋_GB2312" w:eastAsia="仿宋_GB2312" w:cs="仿宋_GB2312"/>
                <w:szCs w:val="24"/>
              </w:rPr>
              <w:t>自动识别肺动脉栓塞，定量分析功能：自动计算肺动脉阻塞指数，肺动脉高压评估。</w:t>
            </w:r>
          </w:p>
        </w:tc>
        <w:tc>
          <w:tcPr>
            <w:tcW w:w="2058" w:type="dxa"/>
            <w:vMerge w:val="continue"/>
            <w:tcBorders>
              <w:top w:val="single" w:color="auto" w:sz="4" w:space="0"/>
              <w:left w:val="nil"/>
              <w:bottom w:val="single" w:color="auto" w:sz="4" w:space="0"/>
              <w:right w:val="single" w:color="auto" w:sz="4" w:space="0"/>
            </w:tcBorders>
            <w:shd w:val="clear" w:color="auto" w:fill="auto"/>
            <w:vAlign w:val="center"/>
          </w:tcPr>
          <w:p w14:paraId="17B57550">
            <w:pPr>
              <w:widowControl/>
              <w:jc w:val="center"/>
              <w:rPr>
                <w:rFonts w:ascii="仿宋_GB2312" w:hAnsi="仿宋_GB2312" w:eastAsia="仿宋_GB2312" w:cs="仿宋_GB2312"/>
                <w:color w:val="000000"/>
                <w:szCs w:val="24"/>
              </w:rPr>
            </w:pPr>
          </w:p>
        </w:tc>
      </w:tr>
      <w:tr w14:paraId="70DA4ACB">
        <w:tblPrEx>
          <w:tblCellMar>
            <w:top w:w="0" w:type="dxa"/>
            <w:left w:w="108" w:type="dxa"/>
            <w:bottom w:w="0" w:type="dxa"/>
            <w:right w:w="108" w:type="dxa"/>
          </w:tblCellMar>
        </w:tblPrEx>
        <w:trPr>
          <w:trHeight w:val="288"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FBE7CB">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08E9ED04">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39EF64BF">
            <w:pPr>
              <w:widowControl/>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胆道结石及梗阻辅助诊断</w:t>
            </w:r>
            <w:r>
              <w:rPr>
                <w:rFonts w:ascii="仿宋_GB2312" w:hAnsi="仿宋_GB2312" w:eastAsia="仿宋_GB2312" w:cs="仿宋_GB2312"/>
                <w:color w:val="000000"/>
                <w:sz w:val="24"/>
                <w:szCs w:val="24"/>
              </w:rPr>
              <w:t>AI</w:t>
            </w:r>
          </w:p>
        </w:tc>
        <w:tc>
          <w:tcPr>
            <w:tcW w:w="6590" w:type="dxa"/>
            <w:tcBorders>
              <w:top w:val="nil"/>
              <w:left w:val="nil"/>
              <w:bottom w:val="single" w:color="auto" w:sz="4" w:space="0"/>
              <w:right w:val="single" w:color="auto" w:sz="4" w:space="0"/>
            </w:tcBorders>
            <w:shd w:val="clear" w:color="auto" w:fill="auto"/>
            <w:vAlign w:val="center"/>
          </w:tcPr>
          <w:p w14:paraId="11365573">
            <w:pPr>
              <w:widowControl/>
              <w:jc w:val="left"/>
              <w:rPr>
                <w:rFonts w:ascii="仿宋_GB2312" w:hAnsi="仿宋_GB2312" w:eastAsia="仿宋_GB2312" w:cs="仿宋_GB2312"/>
                <w:szCs w:val="24"/>
              </w:rPr>
            </w:pPr>
            <w:r>
              <w:rPr>
                <w:rFonts w:hint="eastAsia" w:ascii="仿宋_GB2312" w:hAnsi="仿宋_GB2312" w:eastAsia="仿宋_GB2312" w:cs="仿宋_GB2312"/>
                <w:szCs w:val="24"/>
              </w:rPr>
              <w:t>结石位置/大小/数量统计，胆管扩张分级，梗阻水平定位（肝门部/胆总管下端）。</w:t>
            </w:r>
          </w:p>
        </w:tc>
        <w:tc>
          <w:tcPr>
            <w:tcW w:w="2058" w:type="dxa"/>
            <w:vMerge w:val="continue"/>
            <w:tcBorders>
              <w:top w:val="single" w:color="auto" w:sz="4" w:space="0"/>
              <w:left w:val="nil"/>
              <w:bottom w:val="single" w:color="auto" w:sz="4" w:space="0"/>
              <w:right w:val="single" w:color="auto" w:sz="4" w:space="0"/>
            </w:tcBorders>
            <w:shd w:val="clear" w:color="auto" w:fill="auto"/>
            <w:vAlign w:val="center"/>
          </w:tcPr>
          <w:p w14:paraId="6C78C995">
            <w:pPr>
              <w:widowControl/>
              <w:jc w:val="center"/>
              <w:rPr>
                <w:rFonts w:ascii="仿宋_GB2312" w:hAnsi="仿宋_GB2312" w:eastAsia="仿宋_GB2312" w:cs="仿宋_GB2312"/>
                <w:color w:val="000000"/>
                <w:szCs w:val="24"/>
              </w:rPr>
            </w:pPr>
          </w:p>
        </w:tc>
      </w:tr>
      <w:tr w14:paraId="2C0754A2">
        <w:tblPrEx>
          <w:tblCellMar>
            <w:top w:w="0" w:type="dxa"/>
            <w:left w:w="108" w:type="dxa"/>
            <w:bottom w:w="0" w:type="dxa"/>
            <w:right w:w="108" w:type="dxa"/>
          </w:tblCellMar>
        </w:tblPrEx>
        <w:trPr>
          <w:trHeight w:val="288"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43CB8">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634A12C4">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4257E0D6">
            <w:pPr>
              <w:widowControl/>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急性胰腺炎辅助诊断</w:t>
            </w:r>
            <w:r>
              <w:rPr>
                <w:rFonts w:ascii="仿宋_GB2312" w:hAnsi="仿宋_GB2312" w:eastAsia="仿宋_GB2312" w:cs="仿宋_GB2312"/>
                <w:color w:val="000000"/>
                <w:sz w:val="24"/>
                <w:szCs w:val="24"/>
              </w:rPr>
              <w:t>AI</w:t>
            </w:r>
          </w:p>
        </w:tc>
        <w:tc>
          <w:tcPr>
            <w:tcW w:w="6590" w:type="dxa"/>
            <w:tcBorders>
              <w:top w:val="nil"/>
              <w:left w:val="nil"/>
              <w:bottom w:val="single" w:color="auto" w:sz="4" w:space="0"/>
              <w:right w:val="single" w:color="auto" w:sz="4" w:space="0"/>
            </w:tcBorders>
            <w:shd w:val="clear" w:color="auto" w:fill="auto"/>
            <w:vAlign w:val="center"/>
          </w:tcPr>
          <w:p w14:paraId="2BBEE4B0">
            <w:pPr>
              <w:widowControl/>
              <w:jc w:val="left"/>
              <w:rPr>
                <w:rFonts w:ascii="仿宋_GB2312" w:hAnsi="仿宋_GB2312" w:eastAsia="仿宋_GB2312" w:cs="仿宋_GB2312"/>
                <w:szCs w:val="24"/>
              </w:rPr>
            </w:pPr>
            <w:r>
              <w:rPr>
                <w:rFonts w:hint="eastAsia" w:ascii="仿宋_GB2312" w:hAnsi="仿宋_GB2312" w:eastAsia="仿宋_GB2312" w:cs="仿宋_GB2312"/>
                <w:szCs w:val="24"/>
              </w:rPr>
              <w:t>CT严重指数评分， 坏死区域智能勾画，并发症检测。</w:t>
            </w:r>
          </w:p>
        </w:tc>
        <w:tc>
          <w:tcPr>
            <w:tcW w:w="2058" w:type="dxa"/>
            <w:vMerge w:val="continue"/>
            <w:tcBorders>
              <w:top w:val="single" w:color="auto" w:sz="4" w:space="0"/>
              <w:left w:val="nil"/>
              <w:bottom w:val="single" w:color="auto" w:sz="4" w:space="0"/>
              <w:right w:val="single" w:color="auto" w:sz="4" w:space="0"/>
            </w:tcBorders>
            <w:shd w:val="clear" w:color="auto" w:fill="auto"/>
            <w:vAlign w:val="center"/>
          </w:tcPr>
          <w:p w14:paraId="55580010">
            <w:pPr>
              <w:widowControl/>
              <w:jc w:val="center"/>
              <w:rPr>
                <w:rFonts w:ascii="仿宋_GB2312" w:hAnsi="仿宋_GB2312" w:eastAsia="仿宋_GB2312" w:cs="仿宋_GB2312"/>
                <w:color w:val="000000"/>
                <w:szCs w:val="24"/>
              </w:rPr>
            </w:pPr>
          </w:p>
        </w:tc>
      </w:tr>
      <w:tr w14:paraId="4D2BB46A">
        <w:tblPrEx>
          <w:tblCellMar>
            <w:top w:w="0" w:type="dxa"/>
            <w:left w:w="108" w:type="dxa"/>
            <w:bottom w:w="0" w:type="dxa"/>
            <w:right w:w="108" w:type="dxa"/>
          </w:tblCellMar>
        </w:tblPrEx>
        <w:trPr>
          <w:trHeight w:val="288"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69721">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1F20A362">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58AEA0C8">
            <w:pPr>
              <w:widowControl/>
              <w:adjustRightInd w:val="0"/>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泌尿系结石及梗阻辅助诊断</w:t>
            </w:r>
            <w:r>
              <w:rPr>
                <w:rFonts w:ascii="仿宋_GB2312" w:hAnsi="仿宋_GB2312" w:eastAsia="仿宋_GB2312" w:cs="仿宋_GB2312"/>
                <w:color w:val="000000"/>
                <w:sz w:val="24"/>
                <w:szCs w:val="24"/>
              </w:rPr>
              <w:t>AI</w:t>
            </w:r>
          </w:p>
        </w:tc>
        <w:tc>
          <w:tcPr>
            <w:tcW w:w="6590" w:type="dxa"/>
            <w:tcBorders>
              <w:top w:val="nil"/>
              <w:left w:val="nil"/>
              <w:bottom w:val="single" w:color="auto" w:sz="4" w:space="0"/>
              <w:right w:val="single" w:color="auto" w:sz="4" w:space="0"/>
            </w:tcBorders>
            <w:shd w:val="clear" w:color="auto" w:fill="auto"/>
            <w:vAlign w:val="center"/>
          </w:tcPr>
          <w:p w14:paraId="4228AAA3">
            <w:pPr>
              <w:widowControl/>
              <w:jc w:val="left"/>
              <w:rPr>
                <w:rFonts w:ascii="仿宋_GB2312" w:hAnsi="仿宋_GB2312" w:eastAsia="仿宋_GB2312" w:cs="仿宋_GB2312"/>
                <w:szCs w:val="24"/>
              </w:rPr>
            </w:pPr>
            <w:r>
              <w:rPr>
                <w:rFonts w:hint="eastAsia" w:ascii="仿宋_GB2312" w:hAnsi="仿宋_GB2312" w:eastAsia="仿宋_GB2312" w:cs="仿宋_GB2312"/>
                <w:szCs w:val="24"/>
              </w:rPr>
              <w:t>结石三维体积重建，肾积水程度分级，肾功能损害预测。</w:t>
            </w:r>
          </w:p>
        </w:tc>
        <w:tc>
          <w:tcPr>
            <w:tcW w:w="2058" w:type="dxa"/>
            <w:vMerge w:val="continue"/>
            <w:tcBorders>
              <w:top w:val="single" w:color="auto" w:sz="4" w:space="0"/>
              <w:left w:val="nil"/>
              <w:bottom w:val="single" w:color="auto" w:sz="4" w:space="0"/>
              <w:right w:val="single" w:color="auto" w:sz="4" w:space="0"/>
            </w:tcBorders>
            <w:shd w:val="clear" w:color="auto" w:fill="auto"/>
            <w:vAlign w:val="center"/>
          </w:tcPr>
          <w:p w14:paraId="2D27065C">
            <w:pPr>
              <w:widowControl/>
              <w:jc w:val="center"/>
              <w:rPr>
                <w:rFonts w:ascii="仿宋_GB2312" w:hAnsi="仿宋_GB2312" w:eastAsia="仿宋_GB2312" w:cs="仿宋_GB2312"/>
                <w:color w:val="000000"/>
                <w:szCs w:val="24"/>
              </w:rPr>
            </w:pPr>
          </w:p>
        </w:tc>
      </w:tr>
      <w:tr w14:paraId="0E8533F9">
        <w:tblPrEx>
          <w:tblCellMar>
            <w:top w:w="0" w:type="dxa"/>
            <w:left w:w="108" w:type="dxa"/>
            <w:bottom w:w="0" w:type="dxa"/>
            <w:right w:w="108" w:type="dxa"/>
          </w:tblCellMar>
        </w:tblPrEx>
        <w:trPr>
          <w:trHeight w:val="320" w:hRule="atLeast"/>
        </w:trPr>
        <w:tc>
          <w:tcPr>
            <w:tcW w:w="783" w:type="dxa"/>
            <w:vMerge w:val="restart"/>
            <w:tcBorders>
              <w:top w:val="nil"/>
              <w:left w:val="single" w:color="auto" w:sz="4" w:space="0"/>
              <w:right w:val="single" w:color="auto" w:sz="4" w:space="0"/>
            </w:tcBorders>
            <w:shd w:val="clear" w:color="auto" w:fill="auto"/>
            <w:noWrap/>
            <w:vAlign w:val="center"/>
          </w:tcPr>
          <w:p w14:paraId="26407DA8">
            <w:pPr>
              <w:widowControl/>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 w:val="24"/>
                <w:szCs w:val="24"/>
              </w:rPr>
              <w:t>4</w:t>
            </w:r>
          </w:p>
        </w:tc>
        <w:tc>
          <w:tcPr>
            <w:tcW w:w="2369" w:type="dxa"/>
            <w:vMerge w:val="restart"/>
            <w:tcBorders>
              <w:top w:val="nil"/>
              <w:left w:val="nil"/>
              <w:right w:val="single" w:color="auto" w:sz="4" w:space="0"/>
            </w:tcBorders>
            <w:shd w:val="clear" w:color="auto" w:fill="auto"/>
            <w:vAlign w:val="center"/>
          </w:tcPr>
          <w:p w14:paraId="1321703F">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医共体常规影像</w:t>
            </w:r>
            <w:r>
              <w:rPr>
                <w:rFonts w:ascii="仿宋_GB2312" w:hAnsi="仿宋_GB2312" w:eastAsia="仿宋_GB2312" w:cs="仿宋_GB2312"/>
                <w:color w:val="000000"/>
                <w:sz w:val="24"/>
                <w:szCs w:val="24"/>
              </w:rPr>
              <w:t>AI模块</w:t>
            </w:r>
          </w:p>
        </w:tc>
        <w:tc>
          <w:tcPr>
            <w:tcW w:w="2698" w:type="dxa"/>
            <w:tcBorders>
              <w:top w:val="nil"/>
              <w:left w:val="nil"/>
              <w:bottom w:val="single" w:color="auto" w:sz="4" w:space="0"/>
              <w:right w:val="single" w:color="auto" w:sz="4" w:space="0"/>
            </w:tcBorders>
            <w:shd w:val="clear" w:color="auto" w:fill="auto"/>
          </w:tcPr>
          <w:p w14:paraId="14F0FAC6">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AI科研平台</w:t>
            </w:r>
          </w:p>
        </w:tc>
        <w:tc>
          <w:tcPr>
            <w:tcW w:w="6590" w:type="dxa"/>
            <w:tcBorders>
              <w:top w:val="nil"/>
              <w:left w:val="nil"/>
              <w:bottom w:val="single" w:color="auto" w:sz="4" w:space="0"/>
              <w:right w:val="single" w:color="auto" w:sz="4" w:space="0"/>
            </w:tcBorders>
            <w:shd w:val="clear" w:color="auto" w:fill="auto"/>
            <w:vAlign w:val="center"/>
          </w:tcPr>
          <w:p w14:paraId="04DBEF0A">
            <w:pPr>
              <w:widowControl/>
              <w:jc w:val="left"/>
              <w:rPr>
                <w:rFonts w:ascii="仿宋_GB2312" w:hAnsi="仿宋_GB2312" w:eastAsia="仿宋_GB2312" w:cs="仿宋_GB2312"/>
                <w:szCs w:val="24"/>
              </w:rPr>
            </w:pPr>
            <w:r>
              <w:rPr>
                <w:rFonts w:hint="eastAsia" w:ascii="仿宋_GB2312" w:hAnsi="仿宋_GB2312" w:eastAsia="仿宋_GB2312" w:cs="仿宋_GB2312"/>
                <w:szCs w:val="24"/>
              </w:rPr>
              <w:t>科研管理、数据标注、科研合作</w:t>
            </w:r>
          </w:p>
        </w:tc>
        <w:tc>
          <w:tcPr>
            <w:tcW w:w="2058" w:type="dxa"/>
            <w:vMerge w:val="restart"/>
            <w:tcBorders>
              <w:top w:val="nil"/>
              <w:left w:val="nil"/>
              <w:right w:val="single" w:color="auto" w:sz="4" w:space="0"/>
            </w:tcBorders>
            <w:shd w:val="clear" w:color="auto" w:fill="auto"/>
            <w:vAlign w:val="center"/>
          </w:tcPr>
          <w:p w14:paraId="046E176C">
            <w:pPr>
              <w:widowControl/>
              <w:jc w:val="center"/>
              <w:rPr>
                <w:rFonts w:ascii="仿宋_GB2312" w:hAnsi="仿宋_GB2312" w:eastAsia="仿宋_GB2312" w:cs="仿宋_GB2312"/>
                <w:color w:val="000000"/>
                <w:szCs w:val="24"/>
              </w:rPr>
            </w:pPr>
          </w:p>
        </w:tc>
      </w:tr>
      <w:tr w14:paraId="5D359F93">
        <w:tblPrEx>
          <w:tblCellMar>
            <w:top w:w="0" w:type="dxa"/>
            <w:left w:w="108" w:type="dxa"/>
            <w:bottom w:w="0" w:type="dxa"/>
            <w:right w:w="108" w:type="dxa"/>
          </w:tblCellMar>
        </w:tblPrEx>
        <w:trPr>
          <w:trHeight w:val="256" w:hRule="atLeast"/>
        </w:trPr>
        <w:tc>
          <w:tcPr>
            <w:tcW w:w="783" w:type="dxa"/>
            <w:vMerge w:val="continue"/>
            <w:tcBorders>
              <w:left w:val="single" w:color="auto" w:sz="4" w:space="0"/>
              <w:right w:val="single" w:color="auto" w:sz="4" w:space="0"/>
            </w:tcBorders>
            <w:shd w:val="clear" w:color="auto" w:fill="auto"/>
            <w:noWrap/>
            <w:vAlign w:val="center"/>
          </w:tcPr>
          <w:p w14:paraId="3C9FE4AD">
            <w:pPr>
              <w:widowControl/>
              <w:jc w:val="center"/>
              <w:rPr>
                <w:rFonts w:ascii="仿宋_GB2312" w:hAnsi="仿宋_GB2312" w:eastAsia="仿宋_GB2312" w:cs="仿宋_GB2312"/>
                <w:color w:val="000000"/>
                <w:sz w:val="24"/>
                <w:szCs w:val="24"/>
              </w:rPr>
            </w:pPr>
          </w:p>
        </w:tc>
        <w:tc>
          <w:tcPr>
            <w:tcW w:w="2369" w:type="dxa"/>
            <w:vMerge w:val="continue"/>
            <w:tcBorders>
              <w:left w:val="nil"/>
              <w:right w:val="single" w:color="auto" w:sz="4" w:space="0"/>
            </w:tcBorders>
            <w:shd w:val="clear" w:color="auto" w:fill="auto"/>
            <w:vAlign w:val="center"/>
          </w:tcPr>
          <w:p w14:paraId="747346CB">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35799D44">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脑结节分析</w:t>
            </w:r>
            <w:r>
              <w:rPr>
                <w:rFonts w:ascii="仿宋_GB2312" w:hAnsi="仿宋_GB2312" w:eastAsia="仿宋_GB2312" w:cs="仿宋_GB2312"/>
                <w:color w:val="000000"/>
                <w:sz w:val="24"/>
                <w:szCs w:val="24"/>
              </w:rPr>
              <w:t>AI模块</w:t>
            </w:r>
          </w:p>
        </w:tc>
        <w:tc>
          <w:tcPr>
            <w:tcW w:w="6590" w:type="dxa"/>
            <w:tcBorders>
              <w:top w:val="nil"/>
              <w:left w:val="nil"/>
              <w:bottom w:val="single" w:color="auto" w:sz="4" w:space="0"/>
              <w:right w:val="single" w:color="auto" w:sz="4" w:space="0"/>
            </w:tcBorders>
            <w:shd w:val="clear" w:color="auto" w:fill="auto"/>
            <w:vAlign w:val="center"/>
          </w:tcPr>
          <w:p w14:paraId="37521EB7">
            <w:pPr>
              <w:widowControl/>
              <w:jc w:val="left"/>
              <w:rPr>
                <w:rFonts w:ascii="仿宋_GB2312" w:hAnsi="仿宋_GB2312" w:eastAsia="仿宋_GB2312" w:cs="仿宋_GB2312"/>
                <w:szCs w:val="24"/>
              </w:rPr>
            </w:pPr>
            <w:r>
              <w:rPr>
                <w:rFonts w:hint="eastAsia" w:ascii="仿宋_GB2312" w:hAnsi="仿宋_GB2312" w:eastAsia="仿宋_GB2312" w:cs="仿宋_GB2312"/>
                <w:szCs w:val="24"/>
              </w:rPr>
              <w:t>全脑结节筛查：自动检测≤3mm微小结节，支持CT/MRI多模态图像分析；恶性征象识别；智能随访比对；风险分层标注。</w:t>
            </w:r>
          </w:p>
        </w:tc>
        <w:tc>
          <w:tcPr>
            <w:tcW w:w="2058" w:type="dxa"/>
            <w:vMerge w:val="continue"/>
            <w:tcBorders>
              <w:left w:val="nil"/>
              <w:right w:val="single" w:color="auto" w:sz="4" w:space="0"/>
            </w:tcBorders>
            <w:shd w:val="clear" w:color="auto" w:fill="auto"/>
            <w:vAlign w:val="center"/>
          </w:tcPr>
          <w:p w14:paraId="7E4F804D">
            <w:pPr>
              <w:widowControl/>
              <w:jc w:val="center"/>
              <w:rPr>
                <w:rFonts w:ascii="仿宋_GB2312" w:hAnsi="仿宋_GB2312" w:eastAsia="仿宋_GB2312" w:cs="仿宋_GB2312"/>
                <w:color w:val="000000"/>
                <w:szCs w:val="24"/>
              </w:rPr>
            </w:pPr>
          </w:p>
        </w:tc>
      </w:tr>
      <w:tr w14:paraId="135F232D">
        <w:tblPrEx>
          <w:tblCellMar>
            <w:top w:w="0" w:type="dxa"/>
            <w:left w:w="108" w:type="dxa"/>
            <w:bottom w:w="0" w:type="dxa"/>
            <w:right w:w="108" w:type="dxa"/>
          </w:tblCellMar>
        </w:tblPrEx>
        <w:trPr>
          <w:trHeight w:val="256" w:hRule="atLeast"/>
        </w:trPr>
        <w:tc>
          <w:tcPr>
            <w:tcW w:w="783" w:type="dxa"/>
            <w:vMerge w:val="continue"/>
            <w:tcBorders>
              <w:left w:val="single" w:color="auto" w:sz="4" w:space="0"/>
              <w:right w:val="single" w:color="auto" w:sz="4" w:space="0"/>
            </w:tcBorders>
            <w:shd w:val="clear" w:color="auto" w:fill="auto"/>
            <w:noWrap/>
            <w:vAlign w:val="center"/>
          </w:tcPr>
          <w:p w14:paraId="1F988C69">
            <w:pPr>
              <w:widowControl/>
              <w:jc w:val="center"/>
              <w:rPr>
                <w:rFonts w:ascii="仿宋_GB2312" w:hAnsi="仿宋_GB2312" w:eastAsia="仿宋_GB2312" w:cs="仿宋_GB2312"/>
                <w:color w:val="000000"/>
                <w:sz w:val="24"/>
                <w:szCs w:val="24"/>
              </w:rPr>
            </w:pPr>
          </w:p>
        </w:tc>
        <w:tc>
          <w:tcPr>
            <w:tcW w:w="2369" w:type="dxa"/>
            <w:vMerge w:val="continue"/>
            <w:tcBorders>
              <w:left w:val="nil"/>
              <w:right w:val="single" w:color="auto" w:sz="4" w:space="0"/>
            </w:tcBorders>
            <w:shd w:val="clear" w:color="auto" w:fill="auto"/>
            <w:vAlign w:val="center"/>
          </w:tcPr>
          <w:p w14:paraId="72F6E921">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1530D1BF">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前列腺结节分析</w:t>
            </w:r>
            <w:r>
              <w:rPr>
                <w:rFonts w:ascii="仿宋_GB2312" w:hAnsi="仿宋_GB2312" w:eastAsia="仿宋_GB2312" w:cs="仿宋_GB2312"/>
                <w:color w:val="000000"/>
                <w:sz w:val="24"/>
                <w:szCs w:val="24"/>
              </w:rPr>
              <w:t>AI模块</w:t>
            </w:r>
          </w:p>
        </w:tc>
        <w:tc>
          <w:tcPr>
            <w:tcW w:w="6590" w:type="dxa"/>
            <w:tcBorders>
              <w:top w:val="nil"/>
              <w:left w:val="nil"/>
              <w:bottom w:val="single" w:color="auto" w:sz="4" w:space="0"/>
              <w:right w:val="single" w:color="auto" w:sz="4" w:space="0"/>
            </w:tcBorders>
            <w:shd w:val="clear" w:color="auto" w:fill="auto"/>
            <w:vAlign w:val="center"/>
          </w:tcPr>
          <w:p w14:paraId="3B9E7FF8">
            <w:pPr>
              <w:widowControl/>
              <w:jc w:val="left"/>
              <w:rPr>
                <w:rFonts w:ascii="仿宋_GB2312" w:hAnsi="仿宋_GB2312" w:eastAsia="仿宋_GB2312" w:cs="仿宋_GB2312"/>
                <w:szCs w:val="24"/>
              </w:rPr>
            </w:pPr>
            <w:r>
              <w:rPr>
                <w:rFonts w:hint="eastAsia" w:ascii="仿宋_GB2312" w:hAnsi="仿宋_GB2312" w:eastAsia="仿宋_GB2312" w:cs="仿宋_GB2312"/>
                <w:szCs w:val="24"/>
              </w:rPr>
              <w:t>多参数MRI分析：整合T2WI、DWI、DCE序列，自动定位前列腺分区（外周带/移行带）；PI-RADS智能评分：依据v2.1标准自动计算病灶评分，标注影像学特征（包膜侵犯、精囊浸润）；定量参数测量：自动计算ADC值、Ktrans等定量参数，生成时间-信号强度曲线；穿刺定位引导：基于病灶空间位置生成穿刺建议图；疗效评估：治疗后自动对比病灶体积变化。</w:t>
            </w:r>
          </w:p>
        </w:tc>
        <w:tc>
          <w:tcPr>
            <w:tcW w:w="2058" w:type="dxa"/>
            <w:vMerge w:val="continue"/>
            <w:tcBorders>
              <w:left w:val="nil"/>
              <w:right w:val="single" w:color="auto" w:sz="4" w:space="0"/>
            </w:tcBorders>
            <w:shd w:val="clear" w:color="auto" w:fill="auto"/>
            <w:vAlign w:val="center"/>
          </w:tcPr>
          <w:p w14:paraId="06BC24F5">
            <w:pPr>
              <w:widowControl/>
              <w:jc w:val="center"/>
              <w:rPr>
                <w:rFonts w:ascii="仿宋_GB2312" w:hAnsi="仿宋_GB2312" w:eastAsia="仿宋_GB2312" w:cs="仿宋_GB2312"/>
                <w:color w:val="000000"/>
                <w:szCs w:val="24"/>
              </w:rPr>
            </w:pPr>
          </w:p>
        </w:tc>
      </w:tr>
      <w:tr w14:paraId="175F631B">
        <w:tblPrEx>
          <w:tblCellMar>
            <w:top w:w="0" w:type="dxa"/>
            <w:left w:w="108" w:type="dxa"/>
            <w:bottom w:w="0" w:type="dxa"/>
            <w:right w:w="108" w:type="dxa"/>
          </w:tblCellMar>
        </w:tblPrEx>
        <w:trPr>
          <w:trHeight w:val="256" w:hRule="atLeast"/>
        </w:trPr>
        <w:tc>
          <w:tcPr>
            <w:tcW w:w="783" w:type="dxa"/>
            <w:vMerge w:val="continue"/>
            <w:tcBorders>
              <w:left w:val="single" w:color="auto" w:sz="4" w:space="0"/>
              <w:right w:val="single" w:color="auto" w:sz="4" w:space="0"/>
            </w:tcBorders>
            <w:shd w:val="clear" w:color="auto" w:fill="auto"/>
            <w:noWrap/>
            <w:vAlign w:val="center"/>
          </w:tcPr>
          <w:p w14:paraId="5030D4DE">
            <w:pPr>
              <w:widowControl/>
              <w:jc w:val="center"/>
              <w:rPr>
                <w:rFonts w:ascii="仿宋_GB2312" w:hAnsi="仿宋_GB2312" w:eastAsia="仿宋_GB2312" w:cs="仿宋_GB2312"/>
                <w:color w:val="000000"/>
                <w:sz w:val="24"/>
                <w:szCs w:val="24"/>
              </w:rPr>
            </w:pPr>
          </w:p>
        </w:tc>
        <w:tc>
          <w:tcPr>
            <w:tcW w:w="2369" w:type="dxa"/>
            <w:vMerge w:val="continue"/>
            <w:tcBorders>
              <w:left w:val="nil"/>
              <w:right w:val="single" w:color="auto" w:sz="4" w:space="0"/>
            </w:tcBorders>
            <w:shd w:val="clear" w:color="auto" w:fill="auto"/>
            <w:vAlign w:val="center"/>
          </w:tcPr>
          <w:p w14:paraId="5D148F99">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3E0E8A51">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脑卒中（缺血</w:t>
            </w:r>
            <w:r>
              <w:rPr>
                <w:rFonts w:ascii="仿宋_GB2312" w:hAnsi="仿宋_GB2312" w:eastAsia="仿宋_GB2312" w:cs="仿宋_GB2312"/>
                <w:color w:val="000000"/>
                <w:sz w:val="24"/>
                <w:szCs w:val="24"/>
              </w:rPr>
              <w:t>/出血）AI模块</w:t>
            </w:r>
          </w:p>
        </w:tc>
        <w:tc>
          <w:tcPr>
            <w:tcW w:w="6590" w:type="dxa"/>
            <w:tcBorders>
              <w:top w:val="nil"/>
              <w:left w:val="nil"/>
              <w:bottom w:val="single" w:color="auto" w:sz="4" w:space="0"/>
              <w:right w:val="single" w:color="auto" w:sz="4" w:space="0"/>
            </w:tcBorders>
            <w:shd w:val="clear" w:color="auto" w:fill="auto"/>
            <w:vAlign w:val="center"/>
          </w:tcPr>
          <w:p w14:paraId="78D5B6BF">
            <w:pPr>
              <w:widowControl/>
              <w:jc w:val="left"/>
              <w:rPr>
                <w:rFonts w:ascii="仿宋_GB2312" w:hAnsi="仿宋_GB2312" w:eastAsia="仿宋_GB2312" w:cs="仿宋_GB2312"/>
                <w:szCs w:val="24"/>
              </w:rPr>
            </w:pPr>
            <w:r>
              <w:rPr>
                <w:rFonts w:hint="eastAsia" w:ascii="仿宋_GB2312" w:hAnsi="仿宋_GB2312" w:eastAsia="仿宋_GB2312" w:cs="仿宋_GB2312"/>
                <w:szCs w:val="24"/>
              </w:rPr>
              <w:t>缺血灶：自动划定ASPECTS评分区域，出血灶：精确计算血肿体积（ml）及占位效应；CTA图像自动标注侧支血管，核心梗死区/半暗带体积比自动测算；符合静脉溶栓条件时自动弹窗提醒，大血管闭塞患者自动推荐取栓路径；基于mRS量表生成90天功能结局预测。</w:t>
            </w:r>
          </w:p>
        </w:tc>
        <w:tc>
          <w:tcPr>
            <w:tcW w:w="2058" w:type="dxa"/>
            <w:vMerge w:val="continue"/>
            <w:tcBorders>
              <w:left w:val="nil"/>
              <w:right w:val="single" w:color="auto" w:sz="4" w:space="0"/>
            </w:tcBorders>
            <w:shd w:val="clear" w:color="auto" w:fill="auto"/>
            <w:vAlign w:val="center"/>
          </w:tcPr>
          <w:p w14:paraId="39D0B93E">
            <w:pPr>
              <w:widowControl/>
              <w:jc w:val="center"/>
              <w:rPr>
                <w:rFonts w:ascii="仿宋_GB2312" w:hAnsi="仿宋_GB2312" w:eastAsia="仿宋_GB2312" w:cs="仿宋_GB2312"/>
                <w:color w:val="000000"/>
                <w:szCs w:val="24"/>
              </w:rPr>
            </w:pPr>
          </w:p>
        </w:tc>
      </w:tr>
      <w:tr w14:paraId="2465F604">
        <w:tblPrEx>
          <w:tblCellMar>
            <w:top w:w="0" w:type="dxa"/>
            <w:left w:w="108" w:type="dxa"/>
            <w:bottom w:w="0" w:type="dxa"/>
            <w:right w:w="108" w:type="dxa"/>
          </w:tblCellMar>
        </w:tblPrEx>
        <w:trPr>
          <w:trHeight w:val="277" w:hRule="atLeast"/>
        </w:trPr>
        <w:tc>
          <w:tcPr>
            <w:tcW w:w="783" w:type="dxa"/>
            <w:vMerge w:val="continue"/>
            <w:tcBorders>
              <w:left w:val="single" w:color="auto" w:sz="4" w:space="0"/>
              <w:right w:val="single" w:color="auto" w:sz="4" w:space="0"/>
            </w:tcBorders>
            <w:shd w:val="clear" w:color="auto" w:fill="auto"/>
            <w:noWrap/>
            <w:vAlign w:val="center"/>
          </w:tcPr>
          <w:p w14:paraId="4169C5A5">
            <w:pPr>
              <w:widowControl/>
              <w:jc w:val="center"/>
              <w:rPr>
                <w:rFonts w:ascii="仿宋_GB2312" w:hAnsi="仿宋_GB2312" w:eastAsia="仿宋_GB2312" w:cs="仿宋_GB2312"/>
                <w:color w:val="000000"/>
                <w:sz w:val="24"/>
                <w:szCs w:val="24"/>
              </w:rPr>
            </w:pPr>
          </w:p>
        </w:tc>
        <w:tc>
          <w:tcPr>
            <w:tcW w:w="2369" w:type="dxa"/>
            <w:vMerge w:val="continue"/>
            <w:tcBorders>
              <w:left w:val="nil"/>
              <w:right w:val="single" w:color="auto" w:sz="4" w:space="0"/>
            </w:tcBorders>
            <w:shd w:val="clear" w:color="auto" w:fill="auto"/>
            <w:vAlign w:val="center"/>
          </w:tcPr>
          <w:p w14:paraId="11D025AF">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3664FE49">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双下肢动脉疾病辅助诊断</w:t>
            </w:r>
            <w:r>
              <w:rPr>
                <w:rFonts w:ascii="仿宋_GB2312" w:hAnsi="仿宋_GB2312" w:eastAsia="仿宋_GB2312" w:cs="仿宋_GB2312"/>
                <w:color w:val="000000"/>
                <w:sz w:val="24"/>
                <w:szCs w:val="24"/>
              </w:rPr>
              <w:t>AI</w:t>
            </w:r>
          </w:p>
        </w:tc>
        <w:tc>
          <w:tcPr>
            <w:tcW w:w="6590" w:type="dxa"/>
            <w:tcBorders>
              <w:top w:val="nil"/>
              <w:left w:val="nil"/>
              <w:bottom w:val="single" w:color="auto" w:sz="4" w:space="0"/>
              <w:right w:val="single" w:color="auto" w:sz="4" w:space="0"/>
            </w:tcBorders>
            <w:shd w:val="clear" w:color="auto" w:fill="auto"/>
            <w:vAlign w:val="center"/>
          </w:tcPr>
          <w:p w14:paraId="79425CC6">
            <w:pPr>
              <w:widowControl/>
              <w:jc w:val="left"/>
              <w:rPr>
                <w:rFonts w:ascii="仿宋_GB2312" w:hAnsi="仿宋_GB2312" w:eastAsia="仿宋_GB2312" w:cs="仿宋_GB2312"/>
                <w:szCs w:val="24"/>
              </w:rPr>
            </w:pPr>
            <w:r>
              <w:rPr>
                <w:rFonts w:hint="eastAsia" w:ascii="仿宋_GB2312" w:hAnsi="仿宋_GB2312" w:eastAsia="仿宋_GB2312" w:cs="仿宋_GB2312"/>
                <w:szCs w:val="24"/>
              </w:rPr>
              <w:t>血管树自动提取：从腹主动脉分叉至足背动脉全程三维重建；狭窄智能分析：自动标记狭窄部位，计算狭窄率，区分钙化/非钙化斑块；闭塞病变评估：识别侧支循环建立情况，标注慢性闭塞病变特征；支架术后随访：自动匹配术前术后影像，检测支架内再狭窄及内膜增生情况。</w:t>
            </w:r>
          </w:p>
        </w:tc>
        <w:tc>
          <w:tcPr>
            <w:tcW w:w="2058" w:type="dxa"/>
            <w:vMerge w:val="continue"/>
            <w:tcBorders>
              <w:left w:val="nil"/>
              <w:right w:val="single" w:color="auto" w:sz="4" w:space="0"/>
            </w:tcBorders>
            <w:shd w:val="clear" w:color="auto" w:fill="auto"/>
            <w:vAlign w:val="center"/>
          </w:tcPr>
          <w:p w14:paraId="01EE0C99">
            <w:pPr>
              <w:widowControl/>
              <w:jc w:val="center"/>
              <w:rPr>
                <w:rFonts w:ascii="仿宋_GB2312" w:hAnsi="仿宋_GB2312" w:eastAsia="仿宋_GB2312" w:cs="仿宋_GB2312"/>
                <w:color w:val="000000"/>
                <w:szCs w:val="24"/>
              </w:rPr>
            </w:pPr>
          </w:p>
        </w:tc>
      </w:tr>
      <w:tr w14:paraId="213D7DA2">
        <w:tblPrEx>
          <w:tblCellMar>
            <w:top w:w="0" w:type="dxa"/>
            <w:left w:w="108" w:type="dxa"/>
            <w:bottom w:w="0" w:type="dxa"/>
            <w:right w:w="108" w:type="dxa"/>
          </w:tblCellMar>
        </w:tblPrEx>
        <w:trPr>
          <w:trHeight w:val="277" w:hRule="atLeast"/>
        </w:trPr>
        <w:tc>
          <w:tcPr>
            <w:tcW w:w="783" w:type="dxa"/>
            <w:vMerge w:val="continue"/>
            <w:tcBorders>
              <w:left w:val="single" w:color="auto" w:sz="4" w:space="0"/>
              <w:right w:val="single" w:color="auto" w:sz="4" w:space="0"/>
            </w:tcBorders>
            <w:shd w:val="clear" w:color="auto" w:fill="auto"/>
            <w:noWrap/>
            <w:vAlign w:val="center"/>
          </w:tcPr>
          <w:p w14:paraId="6215BCAD">
            <w:pPr>
              <w:widowControl/>
              <w:jc w:val="center"/>
              <w:rPr>
                <w:rFonts w:ascii="仿宋_GB2312" w:hAnsi="仿宋_GB2312" w:eastAsia="仿宋_GB2312" w:cs="仿宋_GB2312"/>
                <w:color w:val="000000"/>
                <w:sz w:val="24"/>
                <w:szCs w:val="24"/>
              </w:rPr>
            </w:pPr>
          </w:p>
        </w:tc>
        <w:tc>
          <w:tcPr>
            <w:tcW w:w="2369" w:type="dxa"/>
            <w:vMerge w:val="continue"/>
            <w:tcBorders>
              <w:left w:val="nil"/>
              <w:right w:val="single" w:color="auto" w:sz="4" w:space="0"/>
            </w:tcBorders>
            <w:shd w:val="clear" w:color="auto" w:fill="auto"/>
            <w:vAlign w:val="center"/>
          </w:tcPr>
          <w:p w14:paraId="48A5EFE8">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4C8121B1">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钼靶分析</w:t>
            </w:r>
            <w:r>
              <w:rPr>
                <w:rFonts w:ascii="仿宋_GB2312" w:hAnsi="仿宋_GB2312" w:eastAsia="仿宋_GB2312" w:cs="仿宋_GB2312"/>
                <w:color w:val="000000"/>
                <w:sz w:val="24"/>
                <w:szCs w:val="24"/>
              </w:rPr>
              <w:t>AI模块</w:t>
            </w:r>
            <w:r>
              <w:rPr>
                <w:rFonts w:hint="eastAsia" w:ascii="仿宋_GB2312" w:hAnsi="仿宋_GB2312" w:eastAsia="仿宋_GB2312" w:cs="仿宋_GB2312"/>
                <w:color w:val="000000"/>
                <w:sz w:val="24"/>
                <w:szCs w:val="24"/>
              </w:rPr>
              <w:t>（DM、DBT）</w:t>
            </w:r>
          </w:p>
        </w:tc>
        <w:tc>
          <w:tcPr>
            <w:tcW w:w="6590" w:type="dxa"/>
            <w:tcBorders>
              <w:top w:val="nil"/>
              <w:left w:val="nil"/>
              <w:bottom w:val="single" w:color="auto" w:sz="4" w:space="0"/>
              <w:right w:val="single" w:color="auto" w:sz="4" w:space="0"/>
            </w:tcBorders>
            <w:shd w:val="clear" w:color="auto" w:fill="auto"/>
            <w:vAlign w:val="center"/>
          </w:tcPr>
          <w:p w14:paraId="1CBDC468">
            <w:pPr>
              <w:widowControl/>
              <w:jc w:val="left"/>
              <w:rPr>
                <w:rFonts w:ascii="仿宋_GB2312" w:hAnsi="仿宋_GB2312" w:eastAsia="仿宋_GB2312" w:cs="仿宋_GB2312"/>
                <w:szCs w:val="24"/>
              </w:rPr>
            </w:pPr>
            <w:r>
              <w:rPr>
                <w:rFonts w:hint="eastAsia" w:ascii="仿宋_GB2312" w:hAnsi="仿宋_GB2312" w:eastAsia="仿宋_GB2312" w:cs="仿宋_GB2312"/>
                <w:szCs w:val="24"/>
              </w:rPr>
              <w:t>按BI-RADS标准分类肿块/钙化/结构扭曲，</w:t>
            </w:r>
            <w:r>
              <w:rPr>
                <w:rFonts w:ascii="仿宋_GB2312" w:hAnsi="仿宋_GB2312" w:eastAsia="仿宋_GB2312" w:cs="仿宋_GB2312"/>
                <w:szCs w:val="24"/>
              </w:rPr>
              <w:t>自动标注微钙化簇</w:t>
            </w:r>
            <w:r>
              <w:rPr>
                <w:rFonts w:hint="eastAsia" w:ascii="仿宋_GB2312" w:hAnsi="仿宋_GB2312" w:eastAsia="仿宋_GB2312" w:cs="仿宋_GB2312"/>
                <w:szCs w:val="24"/>
              </w:rPr>
              <w:t>；双侧乳腺密度对比，</w:t>
            </w:r>
            <w:r>
              <w:rPr>
                <w:rFonts w:ascii="仿宋_GB2312" w:hAnsi="仿宋_GB2312" w:eastAsia="仿宋_GB2312" w:cs="仿宋_GB2312"/>
                <w:szCs w:val="24"/>
              </w:rPr>
              <w:t>不对称区域自动匹配历史影像变化</w:t>
            </w:r>
            <w:r>
              <w:rPr>
                <w:rFonts w:hint="eastAsia" w:ascii="仿宋_GB2312" w:hAnsi="仿宋_GB2312" w:eastAsia="仿宋_GB2312" w:cs="仿宋_GB2312"/>
                <w:szCs w:val="24"/>
              </w:rPr>
              <w:t>；生成BI-RADS分类建议；集成Tyrer-Cuzick模型，</w:t>
            </w:r>
            <w:r>
              <w:rPr>
                <w:rFonts w:ascii="仿宋_GB2312" w:hAnsi="仿宋_GB2312" w:eastAsia="仿宋_GB2312" w:cs="仿宋_GB2312"/>
                <w:szCs w:val="24"/>
              </w:rPr>
              <w:t>输出10年乳腺癌风险概率</w:t>
            </w:r>
            <w:r>
              <w:rPr>
                <w:rFonts w:hint="eastAsia" w:ascii="仿宋_GB2312" w:hAnsi="仿宋_GB2312" w:eastAsia="仿宋_GB2312" w:cs="仿宋_GB2312"/>
                <w:szCs w:val="24"/>
              </w:rPr>
              <w:t>。</w:t>
            </w:r>
          </w:p>
        </w:tc>
        <w:tc>
          <w:tcPr>
            <w:tcW w:w="2058" w:type="dxa"/>
            <w:vMerge w:val="continue"/>
            <w:tcBorders>
              <w:left w:val="nil"/>
              <w:right w:val="single" w:color="auto" w:sz="4" w:space="0"/>
            </w:tcBorders>
            <w:shd w:val="clear" w:color="auto" w:fill="auto"/>
            <w:vAlign w:val="center"/>
          </w:tcPr>
          <w:p w14:paraId="25083289">
            <w:pPr>
              <w:widowControl/>
              <w:jc w:val="center"/>
              <w:rPr>
                <w:rFonts w:ascii="仿宋_GB2312" w:hAnsi="仿宋_GB2312" w:eastAsia="仿宋_GB2312" w:cs="仿宋_GB2312"/>
                <w:color w:val="000000"/>
                <w:szCs w:val="24"/>
              </w:rPr>
            </w:pPr>
          </w:p>
        </w:tc>
      </w:tr>
      <w:tr w14:paraId="0054B0B9">
        <w:tblPrEx>
          <w:tblCellMar>
            <w:top w:w="0" w:type="dxa"/>
            <w:left w:w="108" w:type="dxa"/>
            <w:bottom w:w="0" w:type="dxa"/>
            <w:right w:w="108" w:type="dxa"/>
          </w:tblCellMar>
        </w:tblPrEx>
        <w:trPr>
          <w:trHeight w:val="282" w:hRule="atLeast"/>
        </w:trPr>
        <w:tc>
          <w:tcPr>
            <w:tcW w:w="783" w:type="dxa"/>
            <w:vMerge w:val="continue"/>
            <w:tcBorders>
              <w:left w:val="single" w:color="auto" w:sz="4" w:space="0"/>
              <w:right w:val="single" w:color="auto" w:sz="4" w:space="0"/>
            </w:tcBorders>
            <w:shd w:val="clear" w:color="auto" w:fill="auto"/>
            <w:noWrap/>
            <w:vAlign w:val="center"/>
          </w:tcPr>
          <w:p w14:paraId="47E25977">
            <w:pPr>
              <w:widowControl/>
              <w:jc w:val="center"/>
              <w:rPr>
                <w:rFonts w:ascii="仿宋_GB2312" w:hAnsi="仿宋_GB2312" w:eastAsia="仿宋_GB2312" w:cs="仿宋_GB2312"/>
                <w:color w:val="000000"/>
                <w:sz w:val="24"/>
                <w:szCs w:val="24"/>
              </w:rPr>
            </w:pPr>
          </w:p>
        </w:tc>
        <w:tc>
          <w:tcPr>
            <w:tcW w:w="2369" w:type="dxa"/>
            <w:vMerge w:val="continue"/>
            <w:tcBorders>
              <w:left w:val="nil"/>
              <w:right w:val="single" w:color="auto" w:sz="4" w:space="0"/>
            </w:tcBorders>
            <w:shd w:val="clear" w:color="auto" w:fill="auto"/>
            <w:vAlign w:val="center"/>
          </w:tcPr>
          <w:p w14:paraId="511285EE">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13D23295">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肝结节分析</w:t>
            </w:r>
            <w:r>
              <w:rPr>
                <w:rFonts w:ascii="仿宋_GB2312" w:hAnsi="仿宋_GB2312" w:eastAsia="仿宋_GB2312" w:cs="仿宋_GB2312"/>
                <w:color w:val="000000"/>
                <w:sz w:val="24"/>
                <w:szCs w:val="24"/>
              </w:rPr>
              <w:t>AI模块</w:t>
            </w:r>
            <w:r>
              <w:rPr>
                <w:rFonts w:hint="eastAsia" w:ascii="仿宋_GB2312" w:hAnsi="仿宋_GB2312" w:eastAsia="仿宋_GB2312" w:cs="仿宋_GB2312"/>
                <w:color w:val="000000"/>
                <w:sz w:val="24"/>
                <w:szCs w:val="24"/>
              </w:rPr>
              <w:t>（CT、MR）</w:t>
            </w:r>
          </w:p>
        </w:tc>
        <w:tc>
          <w:tcPr>
            <w:tcW w:w="6590" w:type="dxa"/>
            <w:tcBorders>
              <w:top w:val="nil"/>
              <w:left w:val="nil"/>
              <w:bottom w:val="single" w:color="auto" w:sz="4" w:space="0"/>
              <w:right w:val="single" w:color="auto" w:sz="4" w:space="0"/>
            </w:tcBorders>
            <w:shd w:val="clear" w:color="auto" w:fill="auto"/>
            <w:vAlign w:val="center"/>
          </w:tcPr>
          <w:p w14:paraId="4EA8EA48">
            <w:pPr>
              <w:widowControl/>
              <w:jc w:val="left"/>
              <w:rPr>
                <w:rFonts w:ascii="仿宋_GB2312" w:hAnsi="仿宋_GB2312" w:eastAsia="仿宋_GB2312" w:cs="仿宋_GB2312"/>
                <w:szCs w:val="24"/>
              </w:rPr>
            </w:pPr>
            <w:r>
              <w:rPr>
                <w:rFonts w:hint="eastAsia" w:ascii="仿宋_GB2312" w:hAnsi="仿宋_GB2312" w:eastAsia="仿宋_GB2312" w:cs="仿宋_GB2312"/>
                <w:szCs w:val="24"/>
              </w:rPr>
              <w:t>肝脏形态学评分，</w:t>
            </w:r>
            <w:r>
              <w:rPr>
                <w:rFonts w:ascii="仿宋_GB2312" w:hAnsi="仿宋_GB2312" w:eastAsia="仿宋_GB2312" w:cs="仿宋_GB2312"/>
                <w:szCs w:val="24"/>
              </w:rPr>
              <w:t>脾脏体积指数自动测算</w:t>
            </w:r>
            <w:r>
              <w:rPr>
                <w:rFonts w:hint="eastAsia" w:ascii="仿宋_GB2312" w:hAnsi="仿宋_GB2312" w:eastAsia="仿宋_GB2312" w:cs="仿宋_GB2312"/>
                <w:szCs w:val="24"/>
              </w:rPr>
              <w:t>；I-RADS分级自动标注，</w:t>
            </w:r>
            <w:r>
              <w:rPr>
                <w:rFonts w:ascii="仿宋_GB2312" w:hAnsi="仿宋_GB2312" w:eastAsia="仿宋_GB2312" w:cs="仿宋_GB2312"/>
                <w:szCs w:val="24"/>
              </w:rPr>
              <w:t>特异性识别不典型增生结节（DN）与早期HCC</w:t>
            </w:r>
            <w:r>
              <w:rPr>
                <w:rFonts w:hint="eastAsia" w:ascii="仿宋_GB2312" w:hAnsi="仿宋_GB2312" w:eastAsia="仿宋_GB2312" w:cs="仿宋_GB2312"/>
                <w:szCs w:val="24"/>
              </w:rPr>
              <w:t>；动脉期/门脉期/延迟期强化模式识别，</w:t>
            </w:r>
            <w:r>
              <w:rPr>
                <w:rFonts w:ascii="仿宋_GB2312" w:hAnsi="仿宋_GB2312" w:eastAsia="仿宋_GB2312" w:cs="仿宋_GB2312"/>
                <w:szCs w:val="24"/>
              </w:rPr>
              <w:t>包膜征/脂肪变性自动标记</w:t>
            </w:r>
            <w:r>
              <w:rPr>
                <w:rFonts w:hint="eastAsia" w:ascii="仿宋_GB2312" w:hAnsi="仿宋_GB2312" w:eastAsia="仿宋_GB2312" w:cs="仿宋_GB2312"/>
                <w:szCs w:val="24"/>
              </w:rPr>
              <w:t>；新发结节&gt;1cm时触发预警。</w:t>
            </w:r>
          </w:p>
        </w:tc>
        <w:tc>
          <w:tcPr>
            <w:tcW w:w="2058" w:type="dxa"/>
            <w:vMerge w:val="continue"/>
            <w:tcBorders>
              <w:left w:val="nil"/>
              <w:right w:val="single" w:color="auto" w:sz="4" w:space="0"/>
            </w:tcBorders>
            <w:shd w:val="clear" w:color="auto" w:fill="auto"/>
            <w:vAlign w:val="center"/>
          </w:tcPr>
          <w:p w14:paraId="4130986F">
            <w:pPr>
              <w:widowControl/>
              <w:jc w:val="center"/>
              <w:rPr>
                <w:rFonts w:ascii="仿宋_GB2312" w:hAnsi="仿宋_GB2312" w:eastAsia="仿宋_GB2312" w:cs="仿宋_GB2312"/>
                <w:color w:val="000000"/>
                <w:szCs w:val="24"/>
              </w:rPr>
            </w:pPr>
          </w:p>
        </w:tc>
      </w:tr>
      <w:tr w14:paraId="3110FD33">
        <w:tblPrEx>
          <w:tblCellMar>
            <w:top w:w="0" w:type="dxa"/>
            <w:left w:w="108" w:type="dxa"/>
            <w:bottom w:w="0" w:type="dxa"/>
            <w:right w:w="108" w:type="dxa"/>
          </w:tblCellMar>
        </w:tblPrEx>
        <w:trPr>
          <w:trHeight w:val="342" w:hRule="atLeast"/>
        </w:trPr>
        <w:tc>
          <w:tcPr>
            <w:tcW w:w="783" w:type="dxa"/>
            <w:vMerge w:val="continue"/>
            <w:tcBorders>
              <w:left w:val="single" w:color="auto" w:sz="4" w:space="0"/>
              <w:bottom w:val="single" w:color="auto" w:sz="4" w:space="0"/>
              <w:right w:val="single" w:color="auto" w:sz="4" w:space="0"/>
            </w:tcBorders>
            <w:shd w:val="clear" w:color="auto" w:fill="auto"/>
            <w:noWrap/>
            <w:vAlign w:val="center"/>
          </w:tcPr>
          <w:p w14:paraId="4C0C46E1">
            <w:pPr>
              <w:widowControl/>
              <w:jc w:val="center"/>
              <w:rPr>
                <w:rFonts w:ascii="仿宋_GB2312" w:hAnsi="仿宋_GB2312" w:eastAsia="仿宋_GB2312" w:cs="仿宋_GB2312"/>
                <w:color w:val="000000"/>
                <w:sz w:val="24"/>
                <w:szCs w:val="24"/>
              </w:rPr>
            </w:pPr>
          </w:p>
        </w:tc>
        <w:tc>
          <w:tcPr>
            <w:tcW w:w="2369" w:type="dxa"/>
            <w:vMerge w:val="continue"/>
            <w:tcBorders>
              <w:left w:val="nil"/>
              <w:bottom w:val="single" w:color="auto" w:sz="4" w:space="0"/>
              <w:right w:val="single" w:color="auto" w:sz="4" w:space="0"/>
            </w:tcBorders>
            <w:shd w:val="clear" w:color="auto" w:fill="auto"/>
            <w:vAlign w:val="center"/>
          </w:tcPr>
          <w:p w14:paraId="0E07FCE2">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77EE5EDC">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双能CT能谱后处理平台</w:t>
            </w:r>
          </w:p>
        </w:tc>
        <w:tc>
          <w:tcPr>
            <w:tcW w:w="6590" w:type="dxa"/>
            <w:tcBorders>
              <w:top w:val="nil"/>
              <w:left w:val="nil"/>
              <w:bottom w:val="single" w:color="auto" w:sz="4" w:space="0"/>
              <w:right w:val="single" w:color="auto" w:sz="4" w:space="0"/>
            </w:tcBorders>
            <w:shd w:val="clear" w:color="auto" w:fill="auto"/>
            <w:vAlign w:val="center"/>
          </w:tcPr>
          <w:p w14:paraId="637D357A">
            <w:pPr>
              <w:widowControl/>
              <w:jc w:val="left"/>
              <w:rPr>
                <w:rFonts w:ascii="仿宋_GB2312" w:hAnsi="仿宋_GB2312" w:eastAsia="仿宋_GB2312" w:cs="仿宋_GB2312"/>
                <w:szCs w:val="24"/>
              </w:rPr>
            </w:pPr>
            <w:r>
              <w:rPr>
                <w:rFonts w:hint="eastAsia" w:ascii="仿宋_GB2312" w:hAnsi="仿宋_GB2312" w:eastAsia="仿宋_GB2312" w:cs="仿宋_GB2312"/>
                <w:szCs w:val="24"/>
              </w:rPr>
              <w:t>CT双能能谱分析，去金属伪影，痛风结晶检测，结石检测，CT血管双能分析，CT心脏双能分析，CT双能肿瘤分析，CT双能肺栓塞分析，CT双能矽肺分析等。</w:t>
            </w:r>
          </w:p>
        </w:tc>
        <w:tc>
          <w:tcPr>
            <w:tcW w:w="2058" w:type="dxa"/>
            <w:vMerge w:val="continue"/>
            <w:tcBorders>
              <w:left w:val="nil"/>
              <w:bottom w:val="single" w:color="auto" w:sz="4" w:space="0"/>
              <w:right w:val="single" w:color="auto" w:sz="4" w:space="0"/>
            </w:tcBorders>
            <w:shd w:val="clear" w:color="auto" w:fill="auto"/>
            <w:vAlign w:val="center"/>
          </w:tcPr>
          <w:p w14:paraId="55797F2E">
            <w:pPr>
              <w:widowControl/>
              <w:jc w:val="center"/>
              <w:rPr>
                <w:rFonts w:ascii="仿宋_GB2312" w:hAnsi="仿宋_GB2312" w:eastAsia="仿宋_GB2312" w:cs="仿宋_GB2312"/>
                <w:color w:val="000000"/>
                <w:szCs w:val="24"/>
              </w:rPr>
            </w:pPr>
          </w:p>
        </w:tc>
      </w:tr>
      <w:tr w14:paraId="0BCDC4BD">
        <w:tblPrEx>
          <w:tblCellMar>
            <w:top w:w="0" w:type="dxa"/>
            <w:left w:w="108" w:type="dxa"/>
            <w:bottom w:w="0" w:type="dxa"/>
            <w:right w:w="108" w:type="dxa"/>
          </w:tblCellMar>
        </w:tblPrEx>
        <w:trPr>
          <w:trHeight w:val="110" w:hRule="atLeast"/>
        </w:trPr>
        <w:tc>
          <w:tcPr>
            <w:tcW w:w="7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727919A">
            <w:pPr>
              <w:widowControl/>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 w:val="24"/>
                <w:szCs w:val="24"/>
              </w:rPr>
              <w:t>5</w:t>
            </w:r>
          </w:p>
        </w:tc>
        <w:tc>
          <w:tcPr>
            <w:tcW w:w="2369" w:type="dxa"/>
            <w:vMerge w:val="restart"/>
            <w:tcBorders>
              <w:top w:val="single" w:color="auto" w:sz="4" w:space="0"/>
              <w:left w:val="nil"/>
              <w:bottom w:val="single" w:color="auto" w:sz="4" w:space="0"/>
              <w:right w:val="single" w:color="auto" w:sz="4" w:space="0"/>
            </w:tcBorders>
            <w:shd w:val="clear" w:color="auto" w:fill="auto"/>
            <w:vAlign w:val="center"/>
          </w:tcPr>
          <w:p w14:paraId="340998FD">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医共体中心药房管理平台</w:t>
            </w:r>
          </w:p>
        </w:tc>
        <w:tc>
          <w:tcPr>
            <w:tcW w:w="2698" w:type="dxa"/>
            <w:tcBorders>
              <w:top w:val="nil"/>
              <w:left w:val="nil"/>
              <w:bottom w:val="single" w:color="auto" w:sz="4" w:space="0"/>
              <w:right w:val="single" w:color="auto" w:sz="4" w:space="0"/>
            </w:tcBorders>
            <w:shd w:val="clear" w:color="auto" w:fill="auto"/>
          </w:tcPr>
          <w:p w14:paraId="358D0356">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用药审方系统</w:t>
            </w:r>
          </w:p>
        </w:tc>
        <w:tc>
          <w:tcPr>
            <w:tcW w:w="6590" w:type="dxa"/>
            <w:tcBorders>
              <w:top w:val="nil"/>
              <w:left w:val="nil"/>
              <w:bottom w:val="single" w:color="auto" w:sz="4" w:space="0"/>
              <w:right w:val="single" w:color="auto" w:sz="4" w:space="0"/>
            </w:tcBorders>
            <w:shd w:val="clear" w:color="auto" w:fill="auto"/>
            <w:vAlign w:val="center"/>
          </w:tcPr>
          <w:p w14:paraId="6F3EE5CB">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支持为药师提供专门的审方工作平台，帮助在缴费或发药前完成门诊/住院处方、医嘱实时审查。系统先自动审查出问题处方（医嘱），再由药师人工审查，审查过程中药师可以与医生实时互动。系统能实现：前置审方医生端，用药实时分析 ；处方/医嘱审核;处方/医嘱批量审核;处方分配;审方全息视图;审方模板设置;问题处方提示;处方、医嘱超通锁定功能;医嘱查看;多次打回处方、医嘱查看;医生药师互动功能；药师审方消息提醒；审方科室启用；审方任务分配：双签托管模式；重点药物审方设置；专项药品审方设置；审方统计;自定义规则设置;药品知识库查看。</w:t>
            </w:r>
          </w:p>
        </w:tc>
        <w:tc>
          <w:tcPr>
            <w:tcW w:w="2058" w:type="dxa"/>
            <w:tcBorders>
              <w:top w:val="single" w:color="auto" w:sz="4" w:space="0"/>
              <w:left w:val="nil"/>
              <w:bottom w:val="single" w:color="auto" w:sz="4" w:space="0"/>
              <w:right w:val="single" w:color="auto" w:sz="4" w:space="0"/>
            </w:tcBorders>
            <w:shd w:val="clear" w:color="auto" w:fill="auto"/>
            <w:vAlign w:val="center"/>
          </w:tcPr>
          <w:p w14:paraId="5B028C50">
            <w:pPr>
              <w:widowControl/>
              <w:jc w:val="center"/>
              <w:rPr>
                <w:rFonts w:ascii="仿宋_GB2312" w:hAnsi="仿宋_GB2312" w:eastAsia="仿宋_GB2312" w:cs="仿宋_GB2312"/>
                <w:color w:val="000000"/>
                <w:szCs w:val="24"/>
              </w:rPr>
            </w:pPr>
          </w:p>
        </w:tc>
      </w:tr>
      <w:tr w14:paraId="469D60D0">
        <w:tblPrEx>
          <w:tblCellMar>
            <w:top w:w="0" w:type="dxa"/>
            <w:left w:w="108" w:type="dxa"/>
            <w:bottom w:w="0" w:type="dxa"/>
            <w:right w:w="108" w:type="dxa"/>
          </w:tblCellMar>
        </w:tblPrEx>
        <w:trPr>
          <w:trHeight w:val="107"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03800F">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6854B370">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18286990">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合理用药监测系统</w:t>
            </w:r>
          </w:p>
        </w:tc>
        <w:tc>
          <w:tcPr>
            <w:tcW w:w="6590" w:type="dxa"/>
            <w:tcBorders>
              <w:top w:val="nil"/>
              <w:left w:val="nil"/>
              <w:bottom w:val="single" w:color="auto" w:sz="4" w:space="0"/>
              <w:right w:val="single" w:color="auto" w:sz="4" w:space="0"/>
            </w:tcBorders>
            <w:shd w:val="clear" w:color="auto" w:fill="auto"/>
            <w:vAlign w:val="center"/>
          </w:tcPr>
          <w:p w14:paraId="77C63904">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系统能实现以下功能：</w:t>
            </w:r>
          </w:p>
          <w:p w14:paraId="4E0EBACC">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一、合理用药功能模块：</w:t>
            </w:r>
          </w:p>
          <w:p w14:paraId="315ED67D">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1）知识库查询功能：涵盖药品说明书查询；根据适应症查询药品；临床检验与诊断；常用医学公式；用药科普知识查询；肝、肾功能不全用药量调整的相关查询；FDA妊娠期药物安全级别查询功能；中药用药禁忌查询；抗菌药物分类及禁慎用症查询；</w:t>
            </w:r>
          </w:p>
          <w:p w14:paraId="299CA765">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2）处方医嘱用药分析：涵盖药物过敏审查、特殊人群用药审查、剂量审查、给药途径、配伍禁忌、相互作用、重复用药、重复用药精准审核、超适应症审查、抗菌药物分级审查、跨处方审核、处方（医嘱）问题等级设置、抗菌谱审查、药品重要信息提示功能、阻断功能、知识库维护、分析规则维护、个性化药量自定义、特殊人群禁慎用设置、性别用药联合禁慎用设置、给药途径禁慎用联合设置、对出院带药进行审查、问题处方回顾查询。</w:t>
            </w:r>
          </w:p>
          <w:p w14:paraId="23CEC728">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二、处方/医嘱点评功能模块：处方抽查点评模块可以提供用户定期对医院门诊处方或住院病例进行样本抽查，并对抽查得到的样本做审核和点评工作，然后生成处方点评工作表。</w:t>
            </w:r>
          </w:p>
          <w:p w14:paraId="28813143">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（1）处方（医嘱）抽取、药师点评、处方点评有设置多级点评。</w:t>
            </w:r>
          </w:p>
          <w:p w14:paraId="794AF6D6">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（2）系统应支持系统将点评结果直接通系统发送给医生，允许医生对点评结果进行申诉；</w:t>
            </w:r>
          </w:p>
          <w:p w14:paraId="00F02238">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（3）医院可以根据实际需要自定义点评流程以及各流程的角色人员，如药学部内部点评级别，是否需要医务科，专家组参与点评等；</w:t>
            </w:r>
          </w:p>
          <w:p w14:paraId="1CD509D9">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（4）处方、医嘱统计与汇总；抗菌药物专项点评工作表；围术期抗菌药物专项点评工作表；自定义专项点评。</w:t>
            </w:r>
          </w:p>
          <w:p w14:paraId="4DEC4C0E">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三、药物报表分析功能模块：对全院用药数据包括抗菌药物的数据进行统计，生成用药数据报表，为药事精准管理提供可靠依据。</w:t>
            </w:r>
          </w:p>
          <w:p w14:paraId="52C37E0F">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（1）医疗机构抗菌药物使用情况统计、抗菌药物临床应用情况统计、抗菌药物使用情况排名（院、科、医生）、抗菌药物超权限使用情况统计表、医院抗菌药物使用种类统计表、医院用药比例统计表。</w:t>
            </w:r>
          </w:p>
          <w:p w14:paraId="463A3F47">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（2）《三级综合医院医疗质量管理与控制指标》相关统计等。</w:t>
            </w:r>
          </w:p>
          <w:p w14:paraId="2B0A3F60">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四、支持县域医共体各医院使用</w:t>
            </w:r>
          </w:p>
          <w:p w14:paraId="2D05AB76">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五、支持医保基金合理使用场景下智能预警、违规申诉反馈及统计分析</w:t>
            </w:r>
          </w:p>
          <w:p w14:paraId="52640C8F">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1.HIS业务场景违规实时预警，如：门诊处方、急诊处方、住院医嘱审核及住院医嘱执行、收费及医技收费合规则性审核；2.提醒与预警:提醒触发记录、在院预警审核；3.审核与申诉：违规审核、违规申诉管理、违规单导入、扣款管理；4.统计分析：依从性分析、科室违规分析、项目违规分析、病组（种）违规分析、违规单分析；5.综合管理：常用规则管理、规则管理日志、参数配置、规则清单。</w:t>
            </w:r>
          </w:p>
        </w:tc>
        <w:tc>
          <w:tcPr>
            <w:tcW w:w="2058" w:type="dxa"/>
            <w:tcBorders>
              <w:top w:val="single" w:color="auto" w:sz="4" w:space="0"/>
              <w:left w:val="nil"/>
              <w:bottom w:val="single" w:color="auto" w:sz="4" w:space="0"/>
              <w:right w:val="single" w:color="auto" w:sz="4" w:space="0"/>
            </w:tcBorders>
            <w:shd w:val="clear" w:color="auto" w:fill="auto"/>
          </w:tcPr>
          <w:p w14:paraId="5BA0E5D1">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含</w:t>
            </w:r>
            <w:r>
              <w:rPr>
                <w:rFonts w:ascii="仿宋_GB2312" w:hAnsi="仿宋_GB2312" w:eastAsia="仿宋_GB2312" w:cs="仿宋_GB2312"/>
                <w:color w:val="000000"/>
                <w:szCs w:val="21"/>
              </w:rPr>
              <w:t>25家基层卫生院用药监测系统分布式部署费用</w:t>
            </w:r>
          </w:p>
        </w:tc>
      </w:tr>
      <w:tr w14:paraId="6FFA684B">
        <w:tblPrEx>
          <w:tblCellMar>
            <w:top w:w="0" w:type="dxa"/>
            <w:left w:w="108" w:type="dxa"/>
            <w:bottom w:w="0" w:type="dxa"/>
            <w:right w:w="108" w:type="dxa"/>
          </w:tblCellMar>
        </w:tblPrEx>
        <w:trPr>
          <w:trHeight w:val="1049"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BF2CA9">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03D28DAE">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56047BE3">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县域慢病管理系统</w:t>
            </w:r>
          </w:p>
        </w:tc>
        <w:tc>
          <w:tcPr>
            <w:tcW w:w="6590" w:type="dxa"/>
            <w:tcBorders>
              <w:top w:val="nil"/>
              <w:left w:val="nil"/>
              <w:bottom w:val="single" w:color="auto" w:sz="4" w:space="0"/>
              <w:right w:val="single" w:color="auto" w:sz="4" w:space="0"/>
            </w:tcBorders>
            <w:shd w:val="clear" w:color="auto" w:fill="auto"/>
            <w:vAlign w:val="center"/>
          </w:tcPr>
          <w:p w14:paraId="0A9B6698">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整合辖区居民在院内历次的门诊、住院、体检记录，构建出完整的院后患者电子健康档案，以随访、宣教、医患咨询、健康监测等为院后医患服务的入口，形成县乡村联动的，覆盖 “防、筛、诊、治、管”全流程的区域慢病协同管理体系，通过上级医院牵头，与辖区内乡镇卫生院（室）共建区域慢病管理中心。以微信患者端为患者端入口，以医护web端为医护端入口，实现医护患多端互动。配置慢病筛查，慢病分级，智能分组，慢病宣教，慢病管理方案，上下转诊，复诊复查提醒，数据驾驶舱，居民健康白皮书等。</w:t>
            </w:r>
          </w:p>
        </w:tc>
        <w:tc>
          <w:tcPr>
            <w:tcW w:w="2058" w:type="dxa"/>
            <w:tcBorders>
              <w:top w:val="single" w:color="auto" w:sz="4" w:space="0"/>
              <w:left w:val="nil"/>
              <w:bottom w:val="single" w:color="auto" w:sz="4" w:space="0"/>
              <w:right w:val="single" w:color="auto" w:sz="4" w:space="0"/>
            </w:tcBorders>
            <w:shd w:val="clear" w:color="auto" w:fill="auto"/>
          </w:tcPr>
          <w:p w14:paraId="28500385">
            <w:pPr>
              <w:widowControl/>
              <w:jc w:val="left"/>
              <w:rPr>
                <w:rFonts w:ascii="仿宋_GB2312" w:hAnsi="仿宋_GB2312" w:eastAsia="仿宋_GB2312" w:cs="仿宋_GB2312"/>
                <w:color w:val="000000"/>
                <w:sz w:val="24"/>
                <w:szCs w:val="24"/>
              </w:rPr>
            </w:pPr>
          </w:p>
        </w:tc>
      </w:tr>
      <w:tr w14:paraId="63F4E37B">
        <w:tblPrEx>
          <w:tblCellMar>
            <w:top w:w="0" w:type="dxa"/>
            <w:left w:w="108" w:type="dxa"/>
            <w:bottom w:w="0" w:type="dxa"/>
            <w:right w:w="108" w:type="dxa"/>
          </w:tblCellMar>
        </w:tblPrEx>
        <w:trPr>
          <w:trHeight w:val="107" w:hRule="atLeast"/>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4D27F1">
            <w:pPr>
              <w:widowControl/>
              <w:jc w:val="center"/>
              <w:rPr>
                <w:rFonts w:ascii="仿宋_GB2312" w:hAnsi="仿宋_GB2312" w:eastAsia="仿宋_GB2312" w:cs="仿宋_GB2312"/>
                <w:color w:val="000000"/>
                <w:sz w:val="24"/>
                <w:szCs w:val="24"/>
              </w:rPr>
            </w:pPr>
          </w:p>
        </w:tc>
        <w:tc>
          <w:tcPr>
            <w:tcW w:w="2369" w:type="dxa"/>
            <w:vMerge w:val="continue"/>
            <w:tcBorders>
              <w:top w:val="single" w:color="auto" w:sz="4" w:space="0"/>
              <w:left w:val="nil"/>
              <w:bottom w:val="single" w:color="auto" w:sz="4" w:space="0"/>
              <w:right w:val="single" w:color="auto" w:sz="4" w:space="0"/>
            </w:tcBorders>
            <w:shd w:val="clear" w:color="auto" w:fill="auto"/>
            <w:vAlign w:val="center"/>
          </w:tcPr>
          <w:p w14:paraId="41F56CDC">
            <w:pPr>
              <w:widowControl/>
              <w:jc w:val="left"/>
              <w:rPr>
                <w:rFonts w:ascii="仿宋_GB2312" w:hAnsi="仿宋_GB2312" w:eastAsia="仿宋_GB2312" w:cs="仿宋_GB2312"/>
                <w:color w:val="000000"/>
                <w:sz w:val="24"/>
                <w:szCs w:val="24"/>
              </w:rPr>
            </w:pPr>
          </w:p>
        </w:tc>
        <w:tc>
          <w:tcPr>
            <w:tcW w:w="2698" w:type="dxa"/>
            <w:tcBorders>
              <w:top w:val="nil"/>
              <w:left w:val="nil"/>
              <w:bottom w:val="single" w:color="auto" w:sz="4" w:space="0"/>
              <w:right w:val="single" w:color="auto" w:sz="4" w:space="0"/>
            </w:tcBorders>
            <w:shd w:val="clear" w:color="auto" w:fill="auto"/>
          </w:tcPr>
          <w:p w14:paraId="07A030BC">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药学服务平台</w:t>
            </w:r>
          </w:p>
        </w:tc>
        <w:tc>
          <w:tcPr>
            <w:tcW w:w="6590" w:type="dxa"/>
            <w:tcBorders>
              <w:top w:val="nil"/>
              <w:left w:val="nil"/>
              <w:bottom w:val="single" w:color="auto" w:sz="4" w:space="0"/>
              <w:right w:val="single" w:color="auto" w:sz="4" w:space="0"/>
            </w:tcBorders>
            <w:shd w:val="clear" w:color="auto" w:fill="auto"/>
            <w:vAlign w:val="center"/>
          </w:tcPr>
          <w:p w14:paraId="5CD12DE7">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系统能实现以下功能：</w:t>
            </w:r>
          </w:p>
          <w:p w14:paraId="0CBCCDB3">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（1)互联网医院合理用药审核：能够系统对处方安全性进行全面性审核，包含用法用量，相互作用，过敏，禁忌症，重复用药等多维度 ；</w:t>
            </w:r>
          </w:p>
          <w:p w14:paraId="025F9C7F">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(2)互联网医院前置审方：药师可通过系统化对不合理处方进行打回，要求医生修改处方；</w:t>
            </w:r>
          </w:p>
          <w:p w14:paraId="345E5FCA">
            <w:pPr>
              <w:widowControl/>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(3)提供患者用药咨询用和用药指导，能一对一药师线上指导,能提供药师用药教育知识库，并提供自定义维护功能。能自动将用药指导内容推送给患者。</w:t>
            </w:r>
          </w:p>
        </w:tc>
        <w:tc>
          <w:tcPr>
            <w:tcW w:w="2058" w:type="dxa"/>
            <w:tcBorders>
              <w:top w:val="single" w:color="auto" w:sz="4" w:space="0"/>
              <w:left w:val="nil"/>
              <w:bottom w:val="single" w:color="auto" w:sz="4" w:space="0"/>
              <w:right w:val="single" w:color="auto" w:sz="4" w:space="0"/>
            </w:tcBorders>
            <w:shd w:val="clear" w:color="auto" w:fill="auto"/>
          </w:tcPr>
          <w:p w14:paraId="578D54A3">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含药品查询、用药指导、用药提醒、不良反应监测、慢病用药随访，满病管理中心建设</w:t>
            </w:r>
          </w:p>
        </w:tc>
      </w:tr>
    </w:tbl>
    <w:p w14:paraId="04A00FB7">
      <w:pPr>
        <w:widowControl/>
        <w:jc w:val="left"/>
        <w:rPr>
          <w:rFonts w:ascii="仿宋_GB2312" w:hAnsi="仿宋_GB2312" w:eastAsia="仿宋_GB2312" w:cs="仿宋_GB2312"/>
          <w:sz w:val="32"/>
          <w:szCs w:val="32"/>
        </w:rPr>
      </w:pPr>
    </w:p>
    <w:p w14:paraId="1B3BBDAD">
      <w:pPr>
        <w:rPr>
          <w:rFonts w:ascii="仿宋_GB2312" w:hAnsi="仿宋_GB2312" w:eastAsia="仿宋_GB2312" w:cs="仿宋_GB2312"/>
          <w:sz w:val="32"/>
          <w:szCs w:val="32"/>
        </w:rPr>
      </w:pPr>
      <w:r>
        <w:rPr>
          <w:rFonts w:hint="eastAsia" w:ascii="仿宋_GB2312" w:hAnsi="仿宋_GB2312" w:eastAsia="仿宋_GB2312" w:cs="仿宋_GB2312"/>
          <w:sz w:val="32"/>
          <w:szCs w:val="32"/>
        </w:rPr>
        <w:t>二、硬件要求</w:t>
      </w:r>
    </w:p>
    <w:tbl>
      <w:tblPr>
        <w:tblStyle w:val="4"/>
        <w:tblW w:w="13755" w:type="dxa"/>
        <w:tblInd w:w="0" w:type="dxa"/>
        <w:tblLayout w:type="fixed"/>
        <w:tblCellMar>
          <w:top w:w="0" w:type="dxa"/>
          <w:left w:w="108" w:type="dxa"/>
          <w:bottom w:w="0" w:type="dxa"/>
          <w:right w:w="108" w:type="dxa"/>
        </w:tblCellMar>
      </w:tblPr>
      <w:tblGrid>
        <w:gridCol w:w="783"/>
        <w:gridCol w:w="1408"/>
        <w:gridCol w:w="7515"/>
        <w:gridCol w:w="614"/>
        <w:gridCol w:w="525"/>
        <w:gridCol w:w="2910"/>
      </w:tblGrid>
      <w:tr w14:paraId="5EEE0569">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1F678">
            <w:pPr>
              <w:widowControl/>
              <w:jc w:val="center"/>
              <w:rPr>
                <w:rFonts w:ascii="仿宋_GB2312" w:hAnsi="仿宋_GB2312" w:eastAsia="仿宋_GB2312" w:cs="仿宋_GB2312"/>
                <w:b/>
                <w:bCs/>
                <w:color w:val="000000"/>
                <w:szCs w:val="24"/>
              </w:rPr>
            </w:pPr>
            <w:r>
              <w:rPr>
                <w:rFonts w:hint="eastAsia" w:ascii="仿宋_GB2312" w:hAnsi="仿宋_GB2312" w:eastAsia="仿宋_GB2312" w:cs="仿宋_GB2312"/>
                <w:b/>
                <w:bCs/>
                <w:color w:val="000000"/>
                <w:sz w:val="24"/>
                <w:szCs w:val="24"/>
              </w:rPr>
              <w:t>序号</w:t>
            </w:r>
          </w:p>
        </w:tc>
        <w:tc>
          <w:tcPr>
            <w:tcW w:w="1408" w:type="dxa"/>
            <w:tcBorders>
              <w:top w:val="single" w:color="auto" w:sz="4" w:space="0"/>
              <w:left w:val="nil"/>
              <w:bottom w:val="single" w:color="auto" w:sz="4" w:space="0"/>
              <w:right w:val="single" w:color="auto" w:sz="4" w:space="0"/>
            </w:tcBorders>
            <w:shd w:val="clear" w:color="auto" w:fill="auto"/>
            <w:noWrap/>
            <w:vAlign w:val="center"/>
          </w:tcPr>
          <w:p w14:paraId="4CD91922">
            <w:pPr>
              <w:widowControl/>
              <w:jc w:val="center"/>
              <w:rPr>
                <w:rFonts w:ascii="仿宋_GB2312" w:hAnsi="仿宋_GB2312" w:eastAsia="仿宋_GB2312" w:cs="仿宋_GB2312"/>
                <w:b/>
                <w:bCs/>
                <w:color w:val="000000"/>
                <w:szCs w:val="24"/>
              </w:rPr>
            </w:pPr>
            <w:r>
              <w:rPr>
                <w:rFonts w:hint="eastAsia" w:ascii="仿宋_GB2312" w:hAnsi="仿宋_GB2312" w:eastAsia="仿宋_GB2312" w:cs="仿宋_GB2312"/>
                <w:b/>
                <w:bCs/>
                <w:color w:val="000000"/>
                <w:sz w:val="24"/>
                <w:szCs w:val="24"/>
              </w:rPr>
              <w:t>设备名称</w:t>
            </w:r>
          </w:p>
        </w:tc>
        <w:tc>
          <w:tcPr>
            <w:tcW w:w="7515" w:type="dxa"/>
            <w:tcBorders>
              <w:top w:val="single" w:color="auto" w:sz="4" w:space="0"/>
              <w:left w:val="nil"/>
              <w:bottom w:val="single" w:color="auto" w:sz="4" w:space="0"/>
              <w:right w:val="single" w:color="auto" w:sz="4" w:space="0"/>
            </w:tcBorders>
            <w:shd w:val="clear" w:color="auto" w:fill="auto"/>
            <w:vAlign w:val="center"/>
          </w:tcPr>
          <w:p w14:paraId="0EE43BE9">
            <w:pPr>
              <w:widowControl/>
              <w:jc w:val="center"/>
              <w:rPr>
                <w:rFonts w:ascii="仿宋_GB2312" w:hAnsi="仿宋_GB2312" w:eastAsia="仿宋_GB2312" w:cs="仿宋_GB2312"/>
                <w:b/>
                <w:bCs/>
                <w:color w:val="000000"/>
                <w:szCs w:val="24"/>
              </w:rPr>
            </w:pPr>
            <w:r>
              <w:rPr>
                <w:rFonts w:hint="eastAsia" w:ascii="仿宋_GB2312" w:hAnsi="仿宋_GB2312" w:eastAsia="仿宋_GB2312" w:cs="仿宋_GB2312"/>
                <w:b/>
                <w:bCs/>
                <w:color w:val="000000"/>
                <w:szCs w:val="24"/>
              </w:rPr>
              <w:t>设备参数</w:t>
            </w:r>
          </w:p>
        </w:tc>
        <w:tc>
          <w:tcPr>
            <w:tcW w:w="614" w:type="dxa"/>
            <w:tcBorders>
              <w:top w:val="single" w:color="auto" w:sz="4" w:space="0"/>
              <w:left w:val="nil"/>
              <w:bottom w:val="single" w:color="auto" w:sz="4" w:space="0"/>
              <w:right w:val="single" w:color="auto" w:sz="4" w:space="0"/>
            </w:tcBorders>
            <w:shd w:val="clear" w:color="auto" w:fill="auto"/>
            <w:vAlign w:val="center"/>
          </w:tcPr>
          <w:p w14:paraId="3FA60864">
            <w:pPr>
              <w:widowControl/>
              <w:jc w:val="center"/>
              <w:rPr>
                <w:rFonts w:ascii="仿宋_GB2312" w:hAnsi="仿宋_GB2312" w:eastAsia="仿宋_GB2312" w:cs="仿宋_GB2312"/>
                <w:b/>
                <w:bCs/>
                <w:color w:val="000000"/>
                <w:szCs w:val="24"/>
              </w:rPr>
            </w:pPr>
            <w:r>
              <w:rPr>
                <w:rFonts w:hint="eastAsia" w:ascii="仿宋_GB2312" w:hAnsi="仿宋_GB2312" w:eastAsia="仿宋_GB2312" w:cs="仿宋_GB2312"/>
                <w:b/>
                <w:bCs/>
                <w:color w:val="000000"/>
                <w:szCs w:val="24"/>
              </w:rPr>
              <w:t>数量</w:t>
            </w:r>
          </w:p>
        </w:tc>
        <w:tc>
          <w:tcPr>
            <w:tcW w:w="525" w:type="dxa"/>
            <w:tcBorders>
              <w:top w:val="single" w:color="auto" w:sz="4" w:space="0"/>
              <w:left w:val="nil"/>
              <w:bottom w:val="single" w:color="auto" w:sz="4" w:space="0"/>
              <w:right w:val="single" w:color="auto" w:sz="4" w:space="0"/>
            </w:tcBorders>
            <w:shd w:val="clear" w:color="auto" w:fill="auto"/>
            <w:vAlign w:val="center"/>
          </w:tcPr>
          <w:p w14:paraId="5F9CB267">
            <w:pPr>
              <w:widowControl/>
              <w:jc w:val="center"/>
              <w:rPr>
                <w:rFonts w:ascii="仿宋_GB2312" w:hAnsi="仿宋_GB2312" w:eastAsia="仿宋_GB2312" w:cs="仿宋_GB2312"/>
                <w:color w:val="000000"/>
                <w:szCs w:val="24"/>
              </w:rPr>
            </w:pPr>
            <w:r>
              <w:rPr>
                <w:rFonts w:hint="eastAsia" w:ascii="仿宋_GB2312" w:hAnsi="仿宋_GB2312" w:eastAsia="仿宋_GB2312" w:cs="仿宋_GB2312"/>
                <w:b/>
                <w:bCs/>
                <w:color w:val="000000"/>
                <w:szCs w:val="24"/>
              </w:rPr>
              <w:t>单位</w:t>
            </w:r>
          </w:p>
        </w:tc>
        <w:tc>
          <w:tcPr>
            <w:tcW w:w="2910" w:type="dxa"/>
            <w:tcBorders>
              <w:top w:val="single" w:color="auto" w:sz="4" w:space="0"/>
              <w:left w:val="nil"/>
              <w:bottom w:val="single" w:color="auto" w:sz="4" w:space="0"/>
              <w:right w:val="single" w:color="auto" w:sz="4" w:space="0"/>
            </w:tcBorders>
            <w:shd w:val="clear" w:color="auto" w:fill="auto"/>
            <w:vAlign w:val="center"/>
          </w:tcPr>
          <w:p w14:paraId="154ABF9D">
            <w:pPr>
              <w:widowControl/>
              <w:jc w:val="center"/>
              <w:rPr>
                <w:rFonts w:ascii="仿宋_GB2312" w:hAnsi="仿宋_GB2312" w:eastAsia="仿宋_GB2312" w:cs="仿宋_GB2312"/>
                <w:b/>
                <w:bCs/>
                <w:color w:val="000000"/>
                <w:szCs w:val="24"/>
              </w:rPr>
            </w:pPr>
            <w:r>
              <w:rPr>
                <w:rFonts w:hint="eastAsia" w:ascii="仿宋_GB2312" w:hAnsi="仿宋_GB2312" w:eastAsia="仿宋_GB2312" w:cs="仿宋_GB2312"/>
                <w:b/>
                <w:bCs/>
                <w:color w:val="000000"/>
                <w:szCs w:val="24"/>
              </w:rPr>
              <w:t>备注</w:t>
            </w:r>
          </w:p>
        </w:tc>
      </w:tr>
      <w:tr w14:paraId="0A9BDE11">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right w:val="single" w:color="auto" w:sz="4" w:space="0"/>
            </w:tcBorders>
            <w:shd w:val="clear" w:color="auto" w:fill="auto"/>
            <w:noWrap/>
            <w:vAlign w:val="center"/>
          </w:tcPr>
          <w:p w14:paraId="43D4F4BE">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408" w:type="dxa"/>
            <w:tcBorders>
              <w:top w:val="single" w:color="auto" w:sz="4" w:space="0"/>
              <w:left w:val="nil"/>
              <w:right w:val="single" w:color="auto" w:sz="4" w:space="0"/>
            </w:tcBorders>
            <w:shd w:val="clear" w:color="auto" w:fill="auto"/>
            <w:noWrap/>
          </w:tcPr>
          <w:p w14:paraId="5BBDED45">
            <w:pPr>
              <w:widowControl/>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GPU算力服务器</w:t>
            </w:r>
          </w:p>
        </w:tc>
        <w:tc>
          <w:tcPr>
            <w:tcW w:w="7515" w:type="dxa"/>
            <w:tcBorders>
              <w:top w:val="single" w:color="auto" w:sz="4" w:space="0"/>
              <w:left w:val="nil"/>
              <w:bottom w:val="single" w:color="auto" w:sz="4" w:space="0"/>
              <w:right w:val="single" w:color="auto" w:sz="4" w:space="0"/>
            </w:tcBorders>
            <w:shd w:val="clear" w:color="auto" w:fill="auto"/>
          </w:tcPr>
          <w:p w14:paraId="065BEF24">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1、CPU: 采用4颗国产化ARM架构处理器，单颗核心数不低于48核，主频不低于2.6GHz；</w:t>
            </w:r>
          </w:p>
          <w:p w14:paraId="6CEFB63A">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2、NPU：不低于8张国产化AI算力卡，单卡不低于64G HBM内存，8卡可提供不低于4.4 POPS  INT8、2.2 PFLOPS FP16、0.6 PFLOPS FP32 算力，每个AI算力卡直出200GE Roce网口(含光模块) 保证节点间互联带宽；</w:t>
            </w:r>
          </w:p>
          <w:p w14:paraId="4D052B28">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3、电源：4*白金2600W；</w:t>
            </w:r>
          </w:p>
          <w:p w14:paraId="2728C3C1">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4、内存：1TB DDR4；</w:t>
            </w:r>
          </w:p>
          <w:p w14:paraId="22263199">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5、硬盘：2*960GB SSD硬盘,2*3.84TB NVMe SSD；</w:t>
            </w:r>
          </w:p>
          <w:p w14:paraId="6C05FE7F">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6、阵列卡：2GB阵列卡（含超级电容）；</w:t>
            </w:r>
          </w:p>
          <w:p w14:paraId="1B753541">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7、网络：6*25G（含4个10GE光模块，2个25GE光模块）,8*200GE（含模块）；</w:t>
            </w:r>
          </w:p>
          <w:p w14:paraId="0F4257D5">
            <w:pPr>
              <w:widowControl/>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8、规格：不超过4U空间，提供4.4 POPS  INT8、2.2 PFLOPS FP16、0.6 PFLOPS FP32 算力；</w:t>
            </w:r>
          </w:p>
          <w:p w14:paraId="7296E704">
            <w:pPr>
              <w:widowControl/>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Cs w:val="21"/>
                <w:lang w:bidi="ar"/>
              </w:rPr>
              <w:t>RoCE交换机2台</w:t>
            </w:r>
            <w:bookmarkStart w:id="1" w:name="_GoBack"/>
            <w:bookmarkEnd w:id="1"/>
          </w:p>
        </w:tc>
        <w:tc>
          <w:tcPr>
            <w:tcW w:w="614" w:type="dxa"/>
            <w:tcBorders>
              <w:top w:val="single" w:color="auto" w:sz="4" w:space="0"/>
              <w:left w:val="nil"/>
              <w:bottom w:val="single" w:color="auto" w:sz="4" w:space="0"/>
              <w:right w:val="single" w:color="auto" w:sz="4" w:space="0"/>
            </w:tcBorders>
            <w:shd w:val="clear" w:color="auto" w:fill="auto"/>
            <w:vAlign w:val="center"/>
          </w:tcPr>
          <w:p w14:paraId="20445E83">
            <w:pPr>
              <w:widowControl/>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6</w:t>
            </w:r>
          </w:p>
        </w:tc>
        <w:tc>
          <w:tcPr>
            <w:tcW w:w="525" w:type="dxa"/>
            <w:tcBorders>
              <w:top w:val="single" w:color="auto" w:sz="4" w:space="0"/>
              <w:left w:val="nil"/>
              <w:bottom w:val="single" w:color="auto" w:sz="4" w:space="0"/>
              <w:right w:val="single" w:color="auto" w:sz="4" w:space="0"/>
            </w:tcBorders>
            <w:shd w:val="clear" w:color="auto" w:fill="auto"/>
            <w:vAlign w:val="center"/>
          </w:tcPr>
          <w:p w14:paraId="79EA9763">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台</w:t>
            </w:r>
          </w:p>
        </w:tc>
        <w:tc>
          <w:tcPr>
            <w:tcW w:w="2910" w:type="dxa"/>
            <w:tcBorders>
              <w:top w:val="single" w:color="auto" w:sz="4" w:space="0"/>
              <w:left w:val="nil"/>
              <w:bottom w:val="single" w:color="auto" w:sz="4" w:space="0"/>
              <w:right w:val="single" w:color="auto" w:sz="4" w:space="0"/>
            </w:tcBorders>
            <w:shd w:val="clear" w:color="auto" w:fill="auto"/>
            <w:vAlign w:val="center"/>
          </w:tcPr>
          <w:p w14:paraId="6674596E">
            <w:pPr>
              <w:widowControl/>
              <w:jc w:val="center"/>
              <w:rPr>
                <w:rFonts w:ascii="仿宋_GB2312" w:hAnsi="仿宋_GB2312" w:eastAsia="仿宋_GB2312" w:cs="仿宋_GB2312"/>
                <w:color w:val="000000"/>
                <w:sz w:val="24"/>
                <w:szCs w:val="24"/>
              </w:rPr>
            </w:pPr>
          </w:p>
        </w:tc>
      </w:tr>
      <w:tr w14:paraId="08C993A3">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B486C">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408" w:type="dxa"/>
            <w:tcBorders>
              <w:top w:val="single" w:color="auto" w:sz="4" w:space="0"/>
              <w:left w:val="nil"/>
              <w:bottom w:val="single" w:color="auto" w:sz="4" w:space="0"/>
              <w:right w:val="single" w:color="auto" w:sz="4" w:space="0"/>
            </w:tcBorders>
            <w:shd w:val="clear" w:color="auto" w:fill="auto"/>
            <w:noWrap/>
          </w:tcPr>
          <w:p w14:paraId="4EE63CC3">
            <w:pPr>
              <w:widowControl/>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超融合一体机</w:t>
            </w:r>
          </w:p>
        </w:tc>
        <w:tc>
          <w:tcPr>
            <w:tcW w:w="7515" w:type="dxa"/>
            <w:tcBorders>
              <w:top w:val="single" w:color="auto" w:sz="4" w:space="0"/>
              <w:left w:val="nil"/>
              <w:bottom w:val="single" w:color="auto" w:sz="4" w:space="0"/>
              <w:right w:val="single" w:color="auto" w:sz="4" w:space="0"/>
            </w:tcBorders>
            <w:shd w:val="clear" w:color="auto" w:fill="auto"/>
          </w:tcPr>
          <w:p w14:paraId="0D2A91EB">
            <w:pPr>
              <w:widowControl/>
              <w:autoSpaceDE w:val="0"/>
              <w:autoSpaceDN w:val="0"/>
              <w:spacing w:line="360" w:lineRule="auto"/>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1、硬件规格≥2U，12盘位；</w:t>
            </w:r>
          </w:p>
          <w:p w14:paraId="63265210">
            <w:pPr>
              <w:widowControl/>
              <w:autoSpaceDE w:val="0"/>
              <w:autoSpaceDN w:val="0"/>
              <w:spacing w:line="360" w:lineRule="auto"/>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kern w:val="0"/>
                <w:szCs w:val="21"/>
                <w:lang w:bidi="ar"/>
              </w:rPr>
              <w:t>国产化CPU：≥2颗，核心≥32核，主频≥2.7GHz；</w:t>
            </w:r>
          </w:p>
          <w:p w14:paraId="1A5AD7F5">
            <w:pPr>
              <w:widowControl/>
              <w:autoSpaceDE w:val="0"/>
              <w:autoSpaceDN w:val="0"/>
              <w:spacing w:line="360" w:lineRule="auto"/>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rPr>
              <w:t>3、内存≥8*64GB，系统盘≥2*</w:t>
            </w:r>
            <w:r>
              <w:rPr>
                <w:rFonts w:hint="eastAsia" w:ascii="仿宋_GB2312" w:hAnsi="仿宋_GB2312" w:eastAsia="仿宋_GB2312" w:cs="仿宋_GB2312"/>
                <w:color w:val="000000"/>
                <w:szCs w:val="21"/>
                <w:lang w:val="en-US" w:eastAsia="zh-CN"/>
              </w:rPr>
              <w:t>480</w:t>
            </w:r>
            <w:r>
              <w:rPr>
                <w:rFonts w:hint="eastAsia" w:ascii="仿宋_GB2312" w:hAnsi="仿宋_GB2312" w:eastAsia="仿宋_GB2312" w:cs="仿宋_GB2312"/>
                <w:color w:val="000000"/>
                <w:szCs w:val="21"/>
              </w:rPr>
              <w:t>GB SSD SAS，</w:t>
            </w:r>
            <w:r>
              <w:rPr>
                <w:rFonts w:hint="eastAsia" w:ascii="仿宋_GB2312" w:hAnsi="仿宋_GB2312" w:eastAsia="仿宋_GB2312" w:cs="仿宋_GB2312"/>
                <w:color w:val="000000"/>
                <w:kern w:val="0"/>
                <w:szCs w:val="21"/>
                <w:lang w:bidi="ar"/>
              </w:rPr>
              <w:t>缓存盘：≥2*1.92T-U.2-NVME-SSD；数据盘：≥4*8T HDD；</w:t>
            </w:r>
          </w:p>
          <w:p w14:paraId="4BB4510A">
            <w:pPr>
              <w:widowControl/>
              <w:autoSpaceDE w:val="0"/>
              <w:autoSpaceDN w:val="0"/>
              <w:spacing w:line="360" w:lineRule="auto"/>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rPr>
              <w:t>4、电源：</w:t>
            </w:r>
            <w:r>
              <w:rPr>
                <w:rFonts w:hint="eastAsia" w:ascii="仿宋_GB2312" w:hAnsi="仿宋_GB2312" w:eastAsia="仿宋_GB2312" w:cs="仿宋_GB2312"/>
                <w:color w:val="000000"/>
                <w:kern w:val="0"/>
                <w:szCs w:val="21"/>
                <w:lang w:bidi="ar"/>
              </w:rPr>
              <w:t>冗余电源；</w:t>
            </w:r>
          </w:p>
          <w:p w14:paraId="58AB2228">
            <w:pPr>
              <w:widowControl/>
              <w:autoSpaceDE w:val="0"/>
              <w:autoSpaceDN w:val="0"/>
              <w:spacing w:line="360" w:lineRule="auto"/>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r>
              <w:rPr>
                <w:rFonts w:hint="eastAsia" w:ascii="仿宋_GB2312" w:hAnsi="仿宋_GB2312" w:eastAsia="仿宋_GB2312" w:cs="仿宋_GB2312"/>
                <w:color w:val="000000"/>
                <w:kern w:val="0"/>
                <w:szCs w:val="21"/>
                <w:lang w:bidi="ar"/>
              </w:rPr>
              <w:t>接口：≥4千兆电口+4万兆光口；</w:t>
            </w:r>
            <w:r>
              <w:rPr>
                <w:rFonts w:hint="eastAsia" w:ascii="仿宋_GB2312" w:hAnsi="仿宋_GB2312" w:eastAsia="仿宋_GB2312" w:cs="仿宋_GB2312"/>
                <w:color w:val="000000"/>
                <w:szCs w:val="21"/>
              </w:rPr>
              <w:t>(含万兆多模光模块)；</w:t>
            </w:r>
          </w:p>
          <w:p w14:paraId="582F35AE">
            <w:pPr>
              <w:widowControl/>
              <w:autoSpaceDE w:val="0"/>
              <w:autoSpaceDN w:val="0"/>
              <w:spacing w:line="360" w:lineRule="auto"/>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光纤线：≥4个光纤线；</w:t>
            </w:r>
          </w:p>
          <w:p w14:paraId="0BB3A1E2">
            <w:pPr>
              <w:widowControl/>
              <w:autoSpaceDE w:val="0"/>
              <w:autoSpaceDN w:val="0"/>
              <w:spacing w:line="360" w:lineRule="auto"/>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光模块：≥8个万兆光模块；</w:t>
            </w:r>
          </w:p>
          <w:p w14:paraId="7A9AF0F0">
            <w:pPr>
              <w:widowControl/>
              <w:autoSpaceDE w:val="0"/>
              <w:autoSpaceDN w:val="0"/>
              <w:spacing w:line="360" w:lineRule="auto"/>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需含计算虚拟化软件、存储虚拟化以及网络虚拟化、安全虚拟化软件；</w:t>
            </w:r>
          </w:p>
          <w:p w14:paraId="06390069">
            <w:pPr>
              <w:widowControl/>
              <w:autoSpaceDE w:val="0"/>
              <w:autoSpaceDN w:val="0"/>
              <w:spacing w:line="360" w:lineRule="auto"/>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需含超融合云管理平台软件和5年服务。</w:t>
            </w:r>
          </w:p>
          <w:p w14:paraId="71141F6A">
            <w:pPr>
              <w:widowControl/>
              <w:autoSpaceDE w:val="0"/>
              <w:autoSpaceDN w:val="0"/>
              <w:spacing w:line="360" w:lineRule="auto"/>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支持集群</w:t>
            </w:r>
          </w:p>
          <w:p w14:paraId="30AC5E50">
            <w:pPr>
              <w:widowControl/>
              <w:autoSpaceDE w:val="0"/>
              <w:autoSpaceDN w:val="0"/>
              <w:spacing w:line="360" w:lineRule="auto"/>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提供一套容灾软件，要主备机房容灾实现秒级RPO，分钟级RTO，至少包含100个虚拟机容灾授权；</w:t>
            </w:r>
          </w:p>
          <w:p w14:paraId="0CFD063A">
            <w:pPr>
              <w:widowControl/>
              <w:jc w:val="left"/>
              <w:rPr>
                <w:rFonts w:ascii="仿宋_GB2312" w:hAnsi="仿宋_GB2312" w:eastAsia="仿宋_GB2312" w:cs="仿宋_GB2312"/>
                <w:color w:val="000000"/>
                <w:sz w:val="24"/>
                <w:szCs w:val="24"/>
              </w:rPr>
            </w:pPr>
          </w:p>
        </w:tc>
        <w:tc>
          <w:tcPr>
            <w:tcW w:w="614" w:type="dxa"/>
            <w:tcBorders>
              <w:top w:val="single" w:color="auto" w:sz="4" w:space="0"/>
              <w:left w:val="nil"/>
              <w:bottom w:val="single" w:color="auto" w:sz="4" w:space="0"/>
              <w:right w:val="single" w:color="auto" w:sz="4" w:space="0"/>
            </w:tcBorders>
            <w:shd w:val="clear" w:color="auto" w:fill="auto"/>
            <w:vAlign w:val="center"/>
          </w:tcPr>
          <w:p w14:paraId="71B5E366">
            <w:pPr>
              <w:widowControl/>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20</w:t>
            </w:r>
          </w:p>
        </w:tc>
        <w:tc>
          <w:tcPr>
            <w:tcW w:w="525" w:type="dxa"/>
            <w:tcBorders>
              <w:top w:val="single" w:color="auto" w:sz="4" w:space="0"/>
              <w:left w:val="nil"/>
              <w:bottom w:val="single" w:color="auto" w:sz="4" w:space="0"/>
              <w:right w:val="single" w:color="auto" w:sz="4" w:space="0"/>
            </w:tcBorders>
            <w:shd w:val="clear" w:color="auto" w:fill="auto"/>
            <w:vAlign w:val="center"/>
          </w:tcPr>
          <w:p w14:paraId="69E1A2BC">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台</w:t>
            </w:r>
          </w:p>
        </w:tc>
        <w:tc>
          <w:tcPr>
            <w:tcW w:w="2910" w:type="dxa"/>
            <w:tcBorders>
              <w:top w:val="single" w:color="auto" w:sz="4" w:space="0"/>
              <w:left w:val="nil"/>
              <w:bottom w:val="single" w:color="auto" w:sz="4" w:space="0"/>
              <w:right w:val="single" w:color="auto" w:sz="4" w:space="0"/>
            </w:tcBorders>
            <w:shd w:val="clear" w:color="auto" w:fill="auto"/>
            <w:vAlign w:val="center"/>
          </w:tcPr>
          <w:p w14:paraId="32391794">
            <w:pPr>
              <w:widowControl/>
              <w:jc w:val="center"/>
              <w:rPr>
                <w:rFonts w:ascii="仿宋_GB2312" w:hAnsi="仿宋_GB2312" w:eastAsia="仿宋_GB2312" w:cs="仿宋_GB2312"/>
                <w:color w:val="000000"/>
                <w:sz w:val="24"/>
                <w:szCs w:val="24"/>
              </w:rPr>
            </w:pPr>
          </w:p>
        </w:tc>
      </w:tr>
      <w:tr w14:paraId="361DF863">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8CBFA">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408" w:type="dxa"/>
            <w:tcBorders>
              <w:top w:val="single" w:color="auto" w:sz="4" w:space="0"/>
              <w:left w:val="nil"/>
              <w:bottom w:val="single" w:color="auto" w:sz="4" w:space="0"/>
              <w:right w:val="single" w:color="auto" w:sz="4" w:space="0"/>
            </w:tcBorders>
            <w:shd w:val="clear" w:color="auto" w:fill="auto"/>
            <w:noWrap/>
          </w:tcPr>
          <w:p w14:paraId="1FF62072">
            <w:pPr>
              <w:widowControl/>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分布式储存服务器</w:t>
            </w:r>
          </w:p>
        </w:tc>
        <w:tc>
          <w:tcPr>
            <w:tcW w:w="7515" w:type="dxa"/>
            <w:tcBorders>
              <w:top w:val="single" w:color="auto" w:sz="4" w:space="0"/>
              <w:left w:val="nil"/>
              <w:bottom w:val="single" w:color="auto" w:sz="4" w:space="0"/>
              <w:right w:val="single" w:color="auto" w:sz="4" w:space="0"/>
            </w:tcBorders>
            <w:shd w:val="clear" w:color="auto" w:fill="auto"/>
          </w:tcPr>
          <w:p w14:paraId="1FABCE28">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1、规格≥2U；</w:t>
            </w:r>
          </w:p>
          <w:p w14:paraId="75BB8E13">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val="en-US" w:eastAsia="zh-CN" w:bidi="ar"/>
              </w:rPr>
              <w:t>2</w:t>
            </w:r>
            <w:r>
              <w:rPr>
                <w:rFonts w:hint="eastAsia" w:ascii="仿宋_GB2312" w:hAnsi="仿宋_GB2312" w:eastAsia="仿宋_GB2312" w:cs="仿宋_GB2312"/>
                <w:color w:val="000000"/>
                <w:kern w:val="0"/>
                <w:szCs w:val="21"/>
                <w:lang w:bidi="ar"/>
              </w:rPr>
              <w:t>、内存≥</w:t>
            </w:r>
            <w:r>
              <w:rPr>
                <w:rFonts w:hint="eastAsia" w:ascii="仿宋_GB2312" w:hAnsi="仿宋_GB2312" w:eastAsia="仿宋_GB2312" w:cs="仿宋_GB2312"/>
                <w:color w:val="000000"/>
                <w:kern w:val="0"/>
                <w:szCs w:val="21"/>
                <w:lang w:val="en-US" w:eastAsia="zh-CN" w:bidi="ar"/>
              </w:rPr>
              <w:t>8</w:t>
            </w:r>
            <w:r>
              <w:rPr>
                <w:rFonts w:hint="eastAsia" w:ascii="仿宋_GB2312" w:hAnsi="仿宋_GB2312" w:eastAsia="仿宋_GB2312" w:cs="仿宋_GB2312"/>
                <w:color w:val="000000"/>
                <w:kern w:val="0"/>
                <w:szCs w:val="21"/>
                <w:lang w:bidi="ar"/>
              </w:rPr>
              <w:t>*32GB，系统盘≥2*480GB SSD  SATA，缓存盘≥2*</w:t>
            </w:r>
            <w:r>
              <w:rPr>
                <w:rFonts w:hint="eastAsia" w:ascii="仿宋_GB2312" w:hAnsi="仿宋_GB2312" w:eastAsia="仿宋_GB2312" w:cs="仿宋_GB2312"/>
                <w:color w:val="000000"/>
                <w:kern w:val="0"/>
                <w:szCs w:val="21"/>
                <w:lang w:val="en-US" w:eastAsia="zh-CN" w:bidi="ar"/>
              </w:rPr>
              <w:t>7.68</w:t>
            </w:r>
            <w:r>
              <w:rPr>
                <w:rFonts w:hint="eastAsia" w:ascii="仿宋_GB2312" w:hAnsi="仿宋_GB2312" w:eastAsia="仿宋_GB2312" w:cs="仿宋_GB2312"/>
                <w:color w:val="000000"/>
                <w:kern w:val="0"/>
                <w:szCs w:val="21"/>
                <w:lang w:bidi="ar"/>
              </w:rPr>
              <w:t>TB SSD NVMe，数据盘≥12*16T SATA HDD；</w:t>
            </w:r>
          </w:p>
          <w:p w14:paraId="4AB0AC6B">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val="en-US" w:eastAsia="zh-CN" w:bidi="ar"/>
              </w:rPr>
              <w:t>3</w:t>
            </w:r>
            <w:r>
              <w:rPr>
                <w:rFonts w:hint="eastAsia" w:ascii="仿宋_GB2312" w:hAnsi="仿宋_GB2312" w:eastAsia="仿宋_GB2312" w:cs="仿宋_GB2312"/>
                <w:color w:val="000000"/>
                <w:kern w:val="0"/>
                <w:szCs w:val="21"/>
                <w:lang w:bidi="ar"/>
              </w:rPr>
              <w:t>、电源：</w:t>
            </w:r>
            <w:r>
              <w:rPr>
                <w:rFonts w:hint="eastAsia" w:ascii="仿宋_GB2312" w:hAnsi="仿宋_GB2312" w:eastAsia="仿宋_GB2312" w:cs="仿宋_GB2312"/>
                <w:color w:val="000000"/>
                <w:szCs w:val="21"/>
              </w:rPr>
              <w:t>冗余电源；</w:t>
            </w:r>
          </w:p>
          <w:p w14:paraId="43D85C17">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val="en-US" w:eastAsia="zh-CN" w:bidi="ar"/>
              </w:rPr>
              <w:t>4</w:t>
            </w:r>
            <w:r>
              <w:rPr>
                <w:rFonts w:hint="eastAsia" w:ascii="仿宋_GB2312" w:hAnsi="仿宋_GB2312" w:eastAsia="仿宋_GB2312" w:cs="仿宋_GB2312"/>
                <w:color w:val="000000"/>
                <w:kern w:val="0"/>
                <w:szCs w:val="21"/>
                <w:lang w:bidi="ar"/>
              </w:rPr>
              <w:t>、接口：</w:t>
            </w:r>
            <w:r>
              <w:rPr>
                <w:rFonts w:hint="eastAsia" w:ascii="仿宋_GB2312" w:hAnsi="仿宋_GB2312" w:eastAsia="仿宋_GB2312" w:cs="仿宋_GB2312"/>
                <w:color w:val="000000"/>
                <w:szCs w:val="21"/>
              </w:rPr>
              <w:t>≥4千兆电口；≥2万兆光口，≥2万兆光口(25G)</w:t>
            </w:r>
            <w:r>
              <w:rPr>
                <w:rFonts w:hint="eastAsia" w:ascii="仿宋_GB2312" w:hAnsi="仿宋_GB2312" w:eastAsia="仿宋_GB2312" w:cs="仿宋_GB2312"/>
                <w:color w:val="000000"/>
                <w:kern w:val="0"/>
                <w:szCs w:val="21"/>
                <w:lang w:bidi="ar"/>
              </w:rPr>
              <w:t>(含万兆多模光模块)；</w:t>
            </w:r>
          </w:p>
          <w:p w14:paraId="71342347">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、光纤线：≥4个光纤线；</w:t>
            </w:r>
          </w:p>
          <w:p w14:paraId="1FCADAE5">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、光模块：≥4个万兆光模块，≥4个25G万兆光模块；</w:t>
            </w:r>
          </w:p>
          <w:p w14:paraId="42BFB57C">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需含5年软件升级和5年产品质保服务；</w:t>
            </w:r>
          </w:p>
          <w:p w14:paraId="05331FF0">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需含</w:t>
            </w:r>
            <w:r>
              <w:rPr>
                <w:rFonts w:hint="eastAsia" w:ascii="仿宋_GB2312" w:hAnsi="仿宋_GB2312" w:eastAsia="仿宋_GB2312" w:cs="仿宋_GB2312"/>
                <w:color w:val="000000"/>
                <w:szCs w:val="21"/>
              </w:rPr>
              <w:t>分布式存储软件1套，提供不少于2.2PB可用存储空间授权；</w:t>
            </w:r>
          </w:p>
          <w:p w14:paraId="3C34562B">
            <w:pPr>
              <w:widowControl/>
              <w:jc w:val="left"/>
              <w:textAlignment w:val="center"/>
              <w:rPr>
                <w:rFonts w:ascii="仿宋_GB2312" w:hAnsi="仿宋_GB2312" w:eastAsia="仿宋_GB2312" w:cs="仿宋_GB2312"/>
                <w:color w:val="000000"/>
                <w:sz w:val="24"/>
                <w:szCs w:val="24"/>
              </w:rPr>
            </w:pPr>
          </w:p>
        </w:tc>
        <w:tc>
          <w:tcPr>
            <w:tcW w:w="614" w:type="dxa"/>
            <w:tcBorders>
              <w:top w:val="single" w:color="auto" w:sz="4" w:space="0"/>
              <w:left w:val="nil"/>
              <w:bottom w:val="single" w:color="auto" w:sz="4" w:space="0"/>
              <w:right w:val="single" w:color="auto" w:sz="4" w:space="0"/>
            </w:tcBorders>
            <w:shd w:val="clear" w:color="auto" w:fill="auto"/>
            <w:vAlign w:val="center"/>
          </w:tcPr>
          <w:p w14:paraId="40477B19">
            <w:pPr>
              <w:widowControl/>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20</w:t>
            </w:r>
          </w:p>
        </w:tc>
        <w:tc>
          <w:tcPr>
            <w:tcW w:w="525" w:type="dxa"/>
            <w:tcBorders>
              <w:top w:val="single" w:color="auto" w:sz="4" w:space="0"/>
              <w:left w:val="nil"/>
              <w:bottom w:val="single" w:color="auto" w:sz="4" w:space="0"/>
              <w:right w:val="single" w:color="auto" w:sz="4" w:space="0"/>
            </w:tcBorders>
            <w:shd w:val="clear" w:color="auto" w:fill="auto"/>
            <w:vAlign w:val="center"/>
          </w:tcPr>
          <w:p w14:paraId="114A4514">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台</w:t>
            </w:r>
          </w:p>
        </w:tc>
        <w:tc>
          <w:tcPr>
            <w:tcW w:w="2910" w:type="dxa"/>
            <w:tcBorders>
              <w:top w:val="single" w:color="auto" w:sz="4" w:space="0"/>
              <w:left w:val="nil"/>
              <w:bottom w:val="single" w:color="auto" w:sz="4" w:space="0"/>
              <w:right w:val="single" w:color="auto" w:sz="4" w:space="0"/>
            </w:tcBorders>
            <w:shd w:val="clear" w:color="auto" w:fill="auto"/>
            <w:vAlign w:val="center"/>
          </w:tcPr>
          <w:p w14:paraId="1FDEF5E0">
            <w:pPr>
              <w:widowControl/>
              <w:jc w:val="center"/>
              <w:rPr>
                <w:rFonts w:ascii="仿宋_GB2312" w:hAnsi="仿宋_GB2312" w:eastAsia="仿宋_GB2312" w:cs="仿宋_GB2312"/>
                <w:color w:val="000000"/>
                <w:sz w:val="24"/>
                <w:szCs w:val="24"/>
              </w:rPr>
            </w:pPr>
          </w:p>
        </w:tc>
      </w:tr>
      <w:tr w14:paraId="47906A55">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93753">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408" w:type="dxa"/>
            <w:tcBorders>
              <w:top w:val="single" w:color="auto" w:sz="4" w:space="0"/>
              <w:left w:val="nil"/>
              <w:bottom w:val="single" w:color="auto" w:sz="4" w:space="0"/>
              <w:right w:val="single" w:color="auto" w:sz="4" w:space="0"/>
            </w:tcBorders>
            <w:shd w:val="clear" w:color="auto" w:fill="auto"/>
            <w:noWrap/>
          </w:tcPr>
          <w:p w14:paraId="192A33F0">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核心交换机</w:t>
            </w:r>
          </w:p>
        </w:tc>
        <w:tc>
          <w:tcPr>
            <w:tcW w:w="7515" w:type="dxa"/>
            <w:tcBorders>
              <w:top w:val="single" w:color="auto" w:sz="4" w:space="0"/>
              <w:left w:val="nil"/>
              <w:bottom w:val="single" w:color="auto" w:sz="4" w:space="0"/>
              <w:right w:val="single" w:color="auto" w:sz="4" w:space="0"/>
            </w:tcBorders>
            <w:shd w:val="clear" w:color="auto" w:fill="auto"/>
          </w:tcPr>
          <w:p w14:paraId="09E39BE1">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1、交换容量≥800Tbps，包转发率≥230000 Mpps；</w:t>
            </w:r>
          </w:p>
          <w:p w14:paraId="7D64A8A1">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2、业务槽位数≥4，交换网板插槽数量≥6；</w:t>
            </w:r>
          </w:p>
          <w:p w14:paraId="7030B91A">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3、风扇框冗余设计，要求风扇框槽位数≥3；</w:t>
            </w:r>
          </w:p>
          <w:p w14:paraId="09484DDE">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4、主控引擎与交换网板硬件分离，主控板故障或者更换不影响整机转发性能；</w:t>
            </w:r>
          </w:p>
          <w:p w14:paraId="672C8D48">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5、支持国产芯片；</w:t>
            </w:r>
          </w:p>
          <w:p w14:paraId="435010AA">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6、支持M-LAG或vPC或DRNI等跨机箱链路捆绑技术；</w:t>
            </w:r>
          </w:p>
          <w:p w14:paraId="45BFD529">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7、支持VOQ能力，支持IP分片和重组；</w:t>
            </w:r>
          </w:p>
          <w:p w14:paraId="6C8ACEE3">
            <w:pPr>
              <w:widowControl/>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Cs w:val="21"/>
                <w:lang w:bidi="ar"/>
              </w:rPr>
              <w:t>8、支持数据面故障快速自愈DPFR，收敛时间小于1ms/9、实配：双主控板，2块交换网板，1块18端口100GE以太网光接口板；2个3000W冗余电源；10个100G-单模模块(1310nm,0.5km,LC)；1根有源光缆-QSFP28-100G-(850nm,10m,AOC)；</w:t>
            </w:r>
          </w:p>
        </w:tc>
        <w:tc>
          <w:tcPr>
            <w:tcW w:w="614" w:type="dxa"/>
            <w:tcBorders>
              <w:top w:val="single" w:color="auto" w:sz="4" w:space="0"/>
              <w:left w:val="nil"/>
              <w:bottom w:val="single" w:color="auto" w:sz="4" w:space="0"/>
              <w:right w:val="single" w:color="auto" w:sz="4" w:space="0"/>
            </w:tcBorders>
            <w:shd w:val="clear" w:color="auto" w:fill="auto"/>
            <w:vAlign w:val="center"/>
          </w:tcPr>
          <w:p w14:paraId="4E74C1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525" w:type="dxa"/>
            <w:tcBorders>
              <w:top w:val="single" w:color="auto" w:sz="4" w:space="0"/>
              <w:left w:val="nil"/>
              <w:bottom w:val="single" w:color="auto" w:sz="4" w:space="0"/>
              <w:right w:val="single" w:color="auto" w:sz="4" w:space="0"/>
            </w:tcBorders>
            <w:shd w:val="clear" w:color="auto" w:fill="auto"/>
            <w:vAlign w:val="center"/>
          </w:tcPr>
          <w:p w14:paraId="0FC6F3B3">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台</w:t>
            </w:r>
          </w:p>
        </w:tc>
        <w:tc>
          <w:tcPr>
            <w:tcW w:w="2910" w:type="dxa"/>
            <w:tcBorders>
              <w:top w:val="single" w:color="auto" w:sz="4" w:space="0"/>
              <w:left w:val="nil"/>
              <w:bottom w:val="single" w:color="auto" w:sz="4" w:space="0"/>
              <w:right w:val="single" w:color="auto" w:sz="4" w:space="0"/>
            </w:tcBorders>
            <w:shd w:val="clear" w:color="auto" w:fill="auto"/>
            <w:vAlign w:val="center"/>
          </w:tcPr>
          <w:p w14:paraId="1E812586">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Cs w:val="21"/>
                <w:lang w:bidi="ar"/>
              </w:rPr>
              <w:t>资源共享数据中心网络核心交换机，主备机房各2台</w:t>
            </w:r>
          </w:p>
        </w:tc>
      </w:tr>
      <w:tr w14:paraId="4FDD6D44">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BD655">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408" w:type="dxa"/>
            <w:tcBorders>
              <w:top w:val="single" w:color="auto" w:sz="4" w:space="0"/>
              <w:left w:val="nil"/>
              <w:bottom w:val="single" w:color="auto" w:sz="4" w:space="0"/>
              <w:right w:val="single" w:color="auto" w:sz="4" w:space="0"/>
            </w:tcBorders>
            <w:shd w:val="clear" w:color="auto" w:fill="auto"/>
            <w:noWrap/>
          </w:tcPr>
          <w:p w14:paraId="1A674765">
            <w:pPr>
              <w:widowControl/>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以太网交换机</w:t>
            </w:r>
          </w:p>
        </w:tc>
        <w:tc>
          <w:tcPr>
            <w:tcW w:w="7515" w:type="dxa"/>
            <w:tcBorders>
              <w:top w:val="single" w:color="auto" w:sz="4" w:space="0"/>
              <w:left w:val="nil"/>
              <w:bottom w:val="single" w:color="auto" w:sz="4" w:space="0"/>
              <w:right w:val="single" w:color="auto" w:sz="4" w:space="0"/>
            </w:tcBorders>
            <w:shd w:val="clear" w:color="auto" w:fill="auto"/>
          </w:tcPr>
          <w:p w14:paraId="156F70EC">
            <w:pPr>
              <w:widowControl/>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一、</w:t>
            </w:r>
            <w:r>
              <w:rPr>
                <w:rFonts w:hint="eastAsia" w:ascii="仿宋_GB2312" w:hAnsi="仿宋_GB2312" w:eastAsia="仿宋_GB2312" w:cs="仿宋_GB2312"/>
                <w:color w:val="000000"/>
                <w:kern w:val="0"/>
                <w:sz w:val="24"/>
                <w:szCs w:val="24"/>
                <w:lang w:bidi="ar"/>
              </w:rPr>
              <w:t>算力服务器、超融合一体机、分布式存储服务器需要使用以太网交换机</w:t>
            </w:r>
            <w:r>
              <w:rPr>
                <w:rFonts w:hint="eastAsia" w:ascii="仿宋_GB2312" w:hAnsi="仿宋_GB2312" w:eastAsia="仿宋_GB2312" w:cs="仿宋_GB2312"/>
                <w:color w:val="000000"/>
                <w:kern w:val="0"/>
                <w:sz w:val="24"/>
                <w:szCs w:val="24"/>
                <w:lang w:val="en-US" w:eastAsia="zh-CN" w:bidi="ar"/>
              </w:rPr>
              <w:t>10台，参数要求如下：</w:t>
            </w:r>
          </w:p>
          <w:p w14:paraId="41F9AFD7">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1、交换容量≥4.8Tbps，包转发率≥2000Mpps；</w:t>
            </w:r>
          </w:p>
          <w:p w14:paraId="5DD7B0BE">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2、高度≤1U，固定接口交换机；</w:t>
            </w:r>
          </w:p>
          <w:p w14:paraId="10385BAF">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3、电源模块槽位≥2个，风扇模块槽位≥4个；</w:t>
            </w:r>
          </w:p>
          <w:p w14:paraId="7FE07EF2">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4</w:t>
            </w:r>
            <w:r>
              <w:rPr>
                <w:rFonts w:hint="eastAsia" w:ascii="仿宋_GB2312" w:hAnsi="仿宋_GB2312" w:eastAsia="仿宋_GB2312" w:cs="仿宋_GB2312"/>
                <w:color w:val="000000"/>
                <w:kern w:val="0"/>
                <w:sz w:val="24"/>
                <w:szCs w:val="24"/>
                <w:lang w:bidi="ar"/>
              </w:rPr>
              <w:t>、提供48个10GE SFP+,6个100GE QSFP28,2个交流电源；</w:t>
            </w:r>
          </w:p>
          <w:p w14:paraId="13E61E18">
            <w:pPr>
              <w:widowControl/>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5</w:t>
            </w:r>
            <w:r>
              <w:rPr>
                <w:rFonts w:hint="eastAsia" w:ascii="仿宋_GB2312" w:hAnsi="仿宋_GB2312" w:eastAsia="仿宋_GB2312" w:cs="仿宋_GB2312"/>
                <w:color w:val="000000"/>
                <w:kern w:val="0"/>
                <w:sz w:val="24"/>
                <w:szCs w:val="24"/>
                <w:lang w:bidi="ar"/>
              </w:rPr>
              <w:t>、实配：8个10G多模光模块，2个100G单模光模块，1根100GE QSFP28高速线缆；</w:t>
            </w:r>
          </w:p>
          <w:p w14:paraId="4E311D42">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需含交换机管理平台软件以及5年产品质保服务</w:t>
            </w:r>
          </w:p>
          <w:p w14:paraId="009C3855">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二、</w:t>
            </w:r>
            <w:r>
              <w:rPr>
                <w:rFonts w:hint="eastAsia" w:ascii="仿宋_GB2312" w:hAnsi="仿宋_GB2312" w:eastAsia="仿宋_GB2312" w:cs="仿宋_GB2312"/>
                <w:color w:val="000000"/>
                <w:kern w:val="0"/>
                <w:sz w:val="24"/>
                <w:szCs w:val="24"/>
                <w:lang w:bidi="ar"/>
              </w:rPr>
              <w:t>分布式存储服务器需要</w:t>
            </w:r>
            <w:r>
              <w:rPr>
                <w:rFonts w:hint="eastAsia" w:ascii="仿宋_GB2312" w:hAnsi="仿宋_GB2312" w:eastAsia="仿宋_GB2312" w:cs="仿宋_GB2312"/>
                <w:color w:val="000000"/>
                <w:kern w:val="0"/>
                <w:sz w:val="24"/>
                <w:szCs w:val="24"/>
                <w:lang w:val="en-US" w:eastAsia="zh-CN" w:bidi="ar"/>
              </w:rPr>
              <w:t>25G</w:t>
            </w:r>
            <w:r>
              <w:rPr>
                <w:rFonts w:hint="eastAsia" w:ascii="仿宋_GB2312" w:hAnsi="仿宋_GB2312" w:eastAsia="仿宋_GB2312" w:cs="仿宋_GB2312"/>
                <w:color w:val="000000"/>
                <w:kern w:val="0"/>
                <w:sz w:val="24"/>
                <w:szCs w:val="24"/>
                <w:lang w:bidi="ar"/>
              </w:rPr>
              <w:t>以太网交换机</w:t>
            </w:r>
            <w:r>
              <w:rPr>
                <w:rFonts w:hint="eastAsia" w:ascii="仿宋_GB2312" w:hAnsi="仿宋_GB2312" w:eastAsia="仿宋_GB2312" w:cs="仿宋_GB2312"/>
                <w:color w:val="000000"/>
                <w:kern w:val="0"/>
                <w:sz w:val="24"/>
                <w:szCs w:val="24"/>
                <w:lang w:val="en-US" w:eastAsia="zh-CN" w:bidi="ar"/>
              </w:rPr>
              <w:t>4台，参数要求如下：</w:t>
            </w:r>
          </w:p>
          <w:p w14:paraId="4CDCF511">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交换机接口：≥48个25G光口，≥8个40GE/100GE 光口；</w:t>
            </w:r>
          </w:p>
          <w:p w14:paraId="42568DC1">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交换容量：≥8T/128T；包转发率：≥3000Mpps；</w:t>
            </w:r>
          </w:p>
          <w:p w14:paraId="4A8D2E29">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电源：冗余电源</w:t>
            </w:r>
          </w:p>
          <w:p w14:paraId="2512F4B6">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需含交换机管理平台和1条堆叠线缆以及5年产品质保服务；</w:t>
            </w:r>
          </w:p>
          <w:p w14:paraId="794F4016">
            <w:pPr>
              <w:widowControl/>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三、</w:t>
            </w:r>
            <w:r>
              <w:rPr>
                <w:rFonts w:hint="eastAsia" w:ascii="仿宋_GB2312" w:hAnsi="仿宋_GB2312" w:eastAsia="仿宋_GB2312" w:cs="仿宋_GB2312"/>
                <w:color w:val="000000"/>
                <w:kern w:val="0"/>
                <w:sz w:val="24"/>
                <w:szCs w:val="24"/>
                <w:lang w:eastAsia="zh-CN" w:bidi="ar"/>
              </w:rPr>
              <w:t>超融合、分布式存储管理网需要使用千兆交换机</w:t>
            </w:r>
            <w:r>
              <w:rPr>
                <w:rFonts w:hint="eastAsia" w:ascii="仿宋_GB2312" w:hAnsi="仿宋_GB2312" w:eastAsia="仿宋_GB2312" w:cs="仿宋_GB2312"/>
                <w:color w:val="000000"/>
                <w:kern w:val="0"/>
                <w:sz w:val="24"/>
                <w:szCs w:val="24"/>
                <w:lang w:val="en-US" w:eastAsia="zh-CN" w:bidi="ar"/>
              </w:rPr>
              <w:t xml:space="preserve"> 4台</w:t>
            </w:r>
          </w:p>
          <w:p w14:paraId="00D78A6F">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1.</w:t>
            </w:r>
            <w:r>
              <w:rPr>
                <w:rFonts w:hint="eastAsia" w:ascii="仿宋_GB2312" w:hAnsi="仿宋_GB2312" w:eastAsia="仿宋_GB2312" w:cs="仿宋_GB2312"/>
                <w:color w:val="000000"/>
                <w:kern w:val="0"/>
                <w:sz w:val="24"/>
                <w:szCs w:val="24"/>
                <w:lang w:bidi="ar"/>
              </w:rPr>
              <w:t>交换机接口：≥24个千兆电口；≥4个万兆光口；</w:t>
            </w:r>
          </w:p>
          <w:p w14:paraId="1C84E4EB">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交换容量：≥672Gbps/6.72Tbps</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包转发率：171Mpps/309Mpps；</w:t>
            </w:r>
          </w:p>
          <w:p w14:paraId="278E5F0F">
            <w:pPr>
              <w:widowControl/>
              <w:jc w:val="left"/>
              <w:textAlignment w:val="center"/>
              <w:rPr>
                <w:rFonts w:hint="default" w:ascii="仿宋_GB2312" w:hAnsi="仿宋_GB2312" w:eastAsia="仿宋_GB2312" w:cs="仿宋_GB2312"/>
                <w:color w:val="FF0000"/>
                <w:kern w:val="0"/>
                <w:sz w:val="24"/>
                <w:szCs w:val="24"/>
                <w:highlight w:val="none"/>
                <w:lang w:val="en-US" w:eastAsia="zh-CN" w:bidi="ar"/>
              </w:rPr>
            </w:pPr>
            <w:r>
              <w:rPr>
                <w:rFonts w:hint="eastAsia" w:ascii="仿宋_GB2312" w:hAnsi="仿宋_GB2312" w:eastAsia="仿宋_GB2312" w:cs="仿宋_GB2312"/>
                <w:color w:val="000000"/>
                <w:kern w:val="0"/>
                <w:sz w:val="24"/>
                <w:szCs w:val="24"/>
                <w:lang w:bidi="ar"/>
              </w:rPr>
              <w:t>需含交换机管理平台软件和1条堆叠线缆以及5年产品质保服务；</w:t>
            </w:r>
          </w:p>
        </w:tc>
        <w:tc>
          <w:tcPr>
            <w:tcW w:w="614" w:type="dxa"/>
            <w:tcBorders>
              <w:top w:val="single" w:color="auto" w:sz="4" w:space="0"/>
              <w:left w:val="nil"/>
              <w:bottom w:val="single" w:color="auto" w:sz="4" w:space="0"/>
              <w:right w:val="single" w:color="auto" w:sz="4" w:space="0"/>
            </w:tcBorders>
            <w:shd w:val="clear" w:color="auto" w:fill="auto"/>
            <w:vAlign w:val="center"/>
          </w:tcPr>
          <w:p w14:paraId="79B820FF">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w:t>
            </w:r>
          </w:p>
        </w:tc>
        <w:tc>
          <w:tcPr>
            <w:tcW w:w="525" w:type="dxa"/>
            <w:tcBorders>
              <w:top w:val="single" w:color="auto" w:sz="4" w:space="0"/>
              <w:left w:val="nil"/>
              <w:bottom w:val="single" w:color="auto" w:sz="4" w:space="0"/>
              <w:right w:val="single" w:color="auto" w:sz="4" w:space="0"/>
            </w:tcBorders>
            <w:shd w:val="clear" w:color="auto" w:fill="auto"/>
            <w:vAlign w:val="center"/>
          </w:tcPr>
          <w:p w14:paraId="361B7156">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台</w:t>
            </w:r>
          </w:p>
        </w:tc>
        <w:tc>
          <w:tcPr>
            <w:tcW w:w="2910" w:type="dxa"/>
            <w:tcBorders>
              <w:top w:val="single" w:color="auto" w:sz="4" w:space="0"/>
              <w:left w:val="nil"/>
              <w:bottom w:val="single" w:color="auto" w:sz="4" w:space="0"/>
              <w:right w:val="single" w:color="auto" w:sz="4" w:space="0"/>
            </w:tcBorders>
            <w:shd w:val="clear" w:color="auto" w:fill="auto"/>
            <w:vAlign w:val="center"/>
          </w:tcPr>
          <w:p w14:paraId="07080DBD">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含主备机房交换机上架服务费用</w:t>
            </w:r>
          </w:p>
        </w:tc>
      </w:tr>
      <w:tr w14:paraId="06A4ED30">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683E5">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408" w:type="dxa"/>
            <w:tcBorders>
              <w:top w:val="single" w:color="auto" w:sz="4" w:space="0"/>
              <w:left w:val="nil"/>
              <w:bottom w:val="single" w:color="auto" w:sz="4" w:space="0"/>
              <w:right w:val="single" w:color="auto" w:sz="4" w:space="0"/>
            </w:tcBorders>
            <w:shd w:val="clear" w:color="auto" w:fill="auto"/>
            <w:noWrap/>
          </w:tcPr>
          <w:p w14:paraId="4FE71560">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GPU服务器参数面</w:t>
            </w:r>
            <w:r>
              <w:rPr>
                <w:rFonts w:hint="eastAsia" w:ascii="仿宋_GB2312" w:hAnsi="仿宋_GB2312" w:eastAsia="仿宋_GB2312" w:cs="仿宋_GB2312"/>
                <w:color w:val="000000"/>
                <w:kern w:val="0"/>
                <w:sz w:val="24"/>
                <w:szCs w:val="24"/>
                <w:lang w:bidi="ar"/>
              </w:rPr>
              <w:t>RoCE</w:t>
            </w:r>
            <w:r>
              <w:rPr>
                <w:rFonts w:hint="eastAsia" w:ascii="仿宋_GB2312" w:hAnsi="仿宋_GB2312" w:eastAsia="仿宋_GB2312" w:cs="仿宋_GB2312"/>
                <w:color w:val="000000"/>
                <w:sz w:val="24"/>
                <w:szCs w:val="24"/>
              </w:rPr>
              <w:t>交换机</w:t>
            </w:r>
          </w:p>
        </w:tc>
        <w:tc>
          <w:tcPr>
            <w:tcW w:w="7515" w:type="dxa"/>
            <w:tcBorders>
              <w:top w:val="single" w:color="auto" w:sz="4" w:space="0"/>
              <w:left w:val="nil"/>
              <w:bottom w:val="single" w:color="auto" w:sz="4" w:space="0"/>
              <w:right w:val="single" w:color="auto" w:sz="4" w:space="0"/>
            </w:tcBorders>
            <w:shd w:val="clear" w:color="auto" w:fill="auto"/>
          </w:tcPr>
          <w:p w14:paraId="5A358ADC">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1、交换容量≥25.6Tbps，包转发率≥8000Mpps；</w:t>
            </w:r>
          </w:p>
          <w:p w14:paraId="4F17634F">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2、高度≤1U，固定接口交换机；</w:t>
            </w:r>
          </w:p>
          <w:p w14:paraId="767F9BFF">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3、电源模块槽位≥2个，风扇模块槽位≥6个；</w:t>
            </w:r>
          </w:p>
          <w:p w14:paraId="3636744F">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4、支持国产芯片；</w:t>
            </w:r>
          </w:p>
          <w:p w14:paraId="6B530F9D">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5、提供32个400GE端口，2个交流电源；</w:t>
            </w:r>
          </w:p>
          <w:p w14:paraId="606A36D6">
            <w:pPr>
              <w:widowControl/>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6、实配：24个400GBase-SR8光模块-QSFP-DD-400G-多模模块(850nm,0.1km,MPO 1x16,APC)支持拆分为2*200GE；</w:t>
            </w:r>
          </w:p>
          <w:p w14:paraId="11247E9A">
            <w:pPr>
              <w:widowControl/>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需含交换机管理平台软件以及5年产品质保服务</w:t>
            </w:r>
          </w:p>
        </w:tc>
        <w:tc>
          <w:tcPr>
            <w:tcW w:w="614" w:type="dxa"/>
            <w:tcBorders>
              <w:top w:val="single" w:color="auto" w:sz="4" w:space="0"/>
              <w:left w:val="nil"/>
              <w:bottom w:val="single" w:color="auto" w:sz="4" w:space="0"/>
              <w:right w:val="single" w:color="auto" w:sz="4" w:space="0"/>
            </w:tcBorders>
            <w:shd w:val="clear" w:color="auto" w:fill="auto"/>
            <w:vAlign w:val="center"/>
          </w:tcPr>
          <w:p w14:paraId="69B25A9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525" w:type="dxa"/>
            <w:tcBorders>
              <w:top w:val="single" w:color="auto" w:sz="4" w:space="0"/>
              <w:left w:val="nil"/>
              <w:bottom w:val="single" w:color="auto" w:sz="4" w:space="0"/>
              <w:right w:val="single" w:color="auto" w:sz="4" w:space="0"/>
            </w:tcBorders>
            <w:shd w:val="clear" w:color="auto" w:fill="auto"/>
            <w:vAlign w:val="center"/>
          </w:tcPr>
          <w:p w14:paraId="784C1C94">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台</w:t>
            </w:r>
          </w:p>
        </w:tc>
        <w:tc>
          <w:tcPr>
            <w:tcW w:w="2910" w:type="dxa"/>
            <w:tcBorders>
              <w:top w:val="single" w:color="auto" w:sz="4" w:space="0"/>
              <w:left w:val="nil"/>
              <w:bottom w:val="single" w:color="auto" w:sz="4" w:space="0"/>
              <w:right w:val="single" w:color="auto" w:sz="4" w:space="0"/>
            </w:tcBorders>
            <w:shd w:val="clear" w:color="auto" w:fill="auto"/>
            <w:vAlign w:val="center"/>
          </w:tcPr>
          <w:p w14:paraId="3EE6C896">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接入GPU服务器200GB参数面</w:t>
            </w:r>
          </w:p>
        </w:tc>
      </w:tr>
      <w:tr w14:paraId="2E48B6C8">
        <w:tblPrEx>
          <w:tblCellMar>
            <w:top w:w="0" w:type="dxa"/>
            <w:left w:w="108" w:type="dxa"/>
            <w:bottom w:w="0" w:type="dxa"/>
            <w:right w:w="108" w:type="dxa"/>
          </w:tblCellMar>
        </w:tblPrEx>
        <w:trPr>
          <w:trHeight w:val="960"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05A16">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408" w:type="dxa"/>
            <w:tcBorders>
              <w:top w:val="single" w:color="auto" w:sz="4" w:space="0"/>
              <w:left w:val="nil"/>
              <w:bottom w:val="single" w:color="auto" w:sz="4" w:space="0"/>
              <w:right w:val="single" w:color="auto" w:sz="4" w:space="0"/>
            </w:tcBorders>
            <w:shd w:val="clear" w:color="auto" w:fill="auto"/>
            <w:noWrap/>
          </w:tcPr>
          <w:p w14:paraId="4B1D2981">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安全设备一批</w:t>
            </w:r>
          </w:p>
        </w:tc>
        <w:tc>
          <w:tcPr>
            <w:tcW w:w="7515" w:type="dxa"/>
            <w:tcBorders>
              <w:top w:val="single" w:color="auto" w:sz="4" w:space="0"/>
              <w:left w:val="nil"/>
              <w:bottom w:val="single" w:color="auto" w:sz="4" w:space="0"/>
              <w:right w:val="single" w:color="auto" w:sz="4" w:space="0"/>
            </w:tcBorders>
            <w:shd w:val="clear" w:color="auto" w:fill="auto"/>
          </w:tcPr>
          <w:p w14:paraId="5E29A05D">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含国产防火墙3台，国产威胁检测系统1台，国产日志分析管理系统1台，</w:t>
            </w:r>
            <w:r>
              <w:rPr>
                <w:rFonts w:hint="eastAsia" w:ascii="仿宋_GB2312" w:hAnsi="仿宋_GB2312" w:eastAsia="仿宋_GB2312" w:cs="仿宋_GB2312"/>
                <w:color w:val="000000"/>
                <w:kern w:val="0"/>
                <w:sz w:val="24"/>
                <w:szCs w:val="24"/>
                <w:lang w:bidi="ar"/>
              </w:rPr>
              <w:t>国产数据库审计1台，国产应用交付网关2台，数据库加密与访问控制系统一体机1台，</w:t>
            </w:r>
            <w:r>
              <w:rPr>
                <w:rFonts w:hint="eastAsia" w:ascii="仿宋_GB2312" w:hAnsi="仿宋_GB2312" w:eastAsia="仿宋_GB2312" w:cs="仿宋_GB2312"/>
                <w:color w:val="000000"/>
                <w:sz w:val="24"/>
                <w:szCs w:val="24"/>
              </w:rPr>
              <w:t>IPSec/SSL VPN综合安全网关1台，服务器密码机1台，国产防火墙3台，国产威胁检测系统1台，国产日志分析管理系统1台，</w:t>
            </w:r>
            <w:r>
              <w:rPr>
                <w:rFonts w:hint="eastAsia" w:ascii="仿宋_GB2312" w:hAnsi="仿宋_GB2312" w:eastAsia="仿宋_GB2312" w:cs="仿宋_GB2312"/>
                <w:color w:val="000000"/>
                <w:kern w:val="0"/>
                <w:sz w:val="24"/>
                <w:szCs w:val="24"/>
                <w:lang w:bidi="ar"/>
              </w:rPr>
              <w:t>国产数据库审计1台，国产运维安全管理系统1台，国产应用交付网关2台，数据库加密与访问控制系统一体机1台，</w:t>
            </w:r>
            <w:r>
              <w:rPr>
                <w:rFonts w:hint="eastAsia" w:ascii="仿宋_GB2312" w:hAnsi="仿宋_GB2312" w:eastAsia="仿宋_GB2312" w:cs="仿宋_GB2312"/>
                <w:color w:val="000000"/>
                <w:sz w:val="24"/>
                <w:szCs w:val="24"/>
              </w:rPr>
              <w:t>IPSec/SSL VPN综合安全网关1台，服务器密码机1台，</w:t>
            </w:r>
            <w:r>
              <w:rPr>
                <w:rFonts w:hint="eastAsia" w:ascii="仿宋_GB2312" w:hAnsi="仿宋_GB2312" w:eastAsia="仿宋_GB2312" w:cs="仿宋_GB2312"/>
                <w:color w:val="000000"/>
                <w:kern w:val="0"/>
                <w:sz w:val="24"/>
                <w:szCs w:val="24"/>
                <w:lang w:bidi="ar"/>
              </w:rPr>
              <w:t>国密SSL证书 1张，网络安全托管服务，需满足网络安全等级保护三级要求。</w:t>
            </w:r>
          </w:p>
        </w:tc>
        <w:tc>
          <w:tcPr>
            <w:tcW w:w="614" w:type="dxa"/>
            <w:tcBorders>
              <w:top w:val="single" w:color="auto" w:sz="4" w:space="0"/>
              <w:left w:val="nil"/>
              <w:bottom w:val="single" w:color="auto" w:sz="4" w:space="0"/>
              <w:right w:val="single" w:color="auto" w:sz="4" w:space="0"/>
            </w:tcBorders>
            <w:shd w:val="clear" w:color="auto" w:fill="auto"/>
            <w:vAlign w:val="center"/>
          </w:tcPr>
          <w:p w14:paraId="4B39C2DD">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525" w:type="dxa"/>
            <w:tcBorders>
              <w:top w:val="single" w:color="auto" w:sz="4" w:space="0"/>
              <w:left w:val="nil"/>
              <w:bottom w:val="single" w:color="auto" w:sz="4" w:space="0"/>
              <w:right w:val="single" w:color="auto" w:sz="4" w:space="0"/>
            </w:tcBorders>
            <w:shd w:val="clear" w:color="auto" w:fill="auto"/>
            <w:vAlign w:val="center"/>
          </w:tcPr>
          <w:p w14:paraId="74457F05">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批</w:t>
            </w:r>
          </w:p>
        </w:tc>
        <w:tc>
          <w:tcPr>
            <w:tcW w:w="2910" w:type="dxa"/>
            <w:tcBorders>
              <w:top w:val="single" w:color="auto" w:sz="4" w:space="0"/>
              <w:left w:val="nil"/>
              <w:bottom w:val="single" w:color="auto" w:sz="4" w:space="0"/>
              <w:right w:val="single" w:color="auto" w:sz="4" w:space="0"/>
            </w:tcBorders>
            <w:shd w:val="clear" w:color="auto" w:fill="auto"/>
            <w:vAlign w:val="center"/>
          </w:tcPr>
          <w:p w14:paraId="517E5A0D">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含安全设备一批部署方案、信息网络安全拓扑图</w:t>
            </w:r>
          </w:p>
        </w:tc>
      </w:tr>
      <w:tr w14:paraId="3AD9F682">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86B47">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408" w:type="dxa"/>
            <w:tcBorders>
              <w:top w:val="single" w:color="auto" w:sz="4" w:space="0"/>
              <w:left w:val="nil"/>
              <w:bottom w:val="single" w:color="auto" w:sz="4" w:space="0"/>
              <w:right w:val="single" w:color="auto" w:sz="4" w:space="0"/>
            </w:tcBorders>
            <w:shd w:val="clear" w:color="auto" w:fill="auto"/>
            <w:noWrap/>
          </w:tcPr>
          <w:p w14:paraId="31087642">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网络专线连接</w:t>
            </w:r>
          </w:p>
        </w:tc>
        <w:tc>
          <w:tcPr>
            <w:tcW w:w="7515" w:type="dxa"/>
            <w:tcBorders>
              <w:top w:val="single" w:color="auto" w:sz="4" w:space="0"/>
              <w:left w:val="nil"/>
              <w:bottom w:val="single" w:color="auto" w:sz="4" w:space="0"/>
              <w:right w:val="single" w:color="auto" w:sz="4" w:space="0"/>
            </w:tcBorders>
            <w:shd w:val="clear" w:color="auto" w:fill="auto"/>
          </w:tcPr>
          <w:p w14:paraId="46E6C9B5">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机房到各乡镇医疗机构有稳定的</w:t>
            </w:r>
            <w:r>
              <w:rPr>
                <w:rFonts w:ascii="仿宋_GB2312" w:hAnsi="仿宋_GB2312" w:eastAsia="仿宋_GB2312" w:cs="仿宋_GB2312"/>
                <w:color w:val="000000"/>
                <w:sz w:val="24"/>
                <w:szCs w:val="24"/>
              </w:rPr>
              <w:t>100M</w:t>
            </w:r>
            <w:r>
              <w:rPr>
                <w:rFonts w:hint="eastAsia" w:ascii="仿宋_GB2312" w:hAnsi="仿宋_GB2312" w:eastAsia="仿宋_GB2312" w:cs="仿宋_GB2312"/>
                <w:color w:val="000000"/>
                <w:sz w:val="24"/>
                <w:szCs w:val="24"/>
              </w:rPr>
              <w:t>元以上</w:t>
            </w:r>
            <w:r>
              <w:rPr>
                <w:rFonts w:ascii="仿宋_GB2312" w:hAnsi="仿宋_GB2312" w:eastAsia="仿宋_GB2312" w:cs="仿宋_GB2312"/>
                <w:color w:val="000000"/>
                <w:sz w:val="24"/>
                <w:szCs w:val="24"/>
              </w:rPr>
              <w:t>网络连接。专线连接，加强信息网络安全。</w:t>
            </w:r>
            <w:r>
              <w:rPr>
                <w:rFonts w:hint="eastAsia" w:ascii="仿宋_GB2312" w:hAnsi="仿宋_GB2312" w:eastAsia="仿宋_GB2312" w:cs="仿宋_GB2312"/>
                <w:color w:val="000000"/>
                <w:sz w:val="24"/>
                <w:szCs w:val="24"/>
              </w:rPr>
              <w:t>专线连接项目需要包含资源共享中心信息网络安全建设内容。</w:t>
            </w:r>
          </w:p>
        </w:tc>
        <w:tc>
          <w:tcPr>
            <w:tcW w:w="614" w:type="dxa"/>
            <w:tcBorders>
              <w:top w:val="single" w:color="auto" w:sz="4" w:space="0"/>
              <w:left w:val="nil"/>
              <w:bottom w:val="single" w:color="auto" w:sz="4" w:space="0"/>
              <w:right w:val="single" w:color="auto" w:sz="4" w:space="0"/>
            </w:tcBorders>
            <w:shd w:val="clear" w:color="auto" w:fill="auto"/>
            <w:vAlign w:val="center"/>
          </w:tcPr>
          <w:p w14:paraId="2CAD985F">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25" w:type="dxa"/>
            <w:tcBorders>
              <w:top w:val="single" w:color="auto" w:sz="4" w:space="0"/>
              <w:left w:val="nil"/>
              <w:bottom w:val="single" w:color="auto" w:sz="4" w:space="0"/>
              <w:right w:val="single" w:color="auto" w:sz="4" w:space="0"/>
            </w:tcBorders>
            <w:shd w:val="clear" w:color="auto" w:fill="auto"/>
            <w:vAlign w:val="center"/>
          </w:tcPr>
          <w:p w14:paraId="1ABB388D">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套</w:t>
            </w:r>
          </w:p>
        </w:tc>
        <w:tc>
          <w:tcPr>
            <w:tcW w:w="2910" w:type="dxa"/>
            <w:tcBorders>
              <w:top w:val="single" w:color="auto" w:sz="4" w:space="0"/>
              <w:left w:val="nil"/>
              <w:bottom w:val="single" w:color="auto" w:sz="4" w:space="0"/>
              <w:right w:val="single" w:color="auto" w:sz="4" w:space="0"/>
            </w:tcBorders>
            <w:shd w:val="clear" w:color="auto" w:fill="auto"/>
            <w:vAlign w:val="center"/>
          </w:tcPr>
          <w:p w14:paraId="2F4FFB06">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含3年以上专线费用</w:t>
            </w:r>
          </w:p>
        </w:tc>
      </w:tr>
      <w:tr w14:paraId="2D49541F">
        <w:tblPrEx>
          <w:tblCellMar>
            <w:top w:w="0" w:type="dxa"/>
            <w:left w:w="108" w:type="dxa"/>
            <w:bottom w:w="0" w:type="dxa"/>
            <w:right w:w="108" w:type="dxa"/>
          </w:tblCellMar>
        </w:tblPrEx>
        <w:trPr>
          <w:trHeight w:val="465" w:hRule="atLeast"/>
          <w:tblHead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079D6">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408" w:type="dxa"/>
            <w:tcBorders>
              <w:top w:val="single" w:color="auto" w:sz="4" w:space="0"/>
              <w:left w:val="nil"/>
              <w:bottom w:val="single" w:color="auto" w:sz="4" w:space="0"/>
              <w:right w:val="single" w:color="auto" w:sz="4" w:space="0"/>
            </w:tcBorders>
            <w:shd w:val="clear" w:color="auto" w:fill="auto"/>
            <w:noWrap/>
          </w:tcPr>
          <w:p w14:paraId="644356AD">
            <w:pPr>
              <w:widowControl/>
              <w:jc w:val="left"/>
              <w:rPr>
                <w:rFonts w:ascii="仿宋_GB2312" w:hAnsi="仿宋_GB2312" w:eastAsia="仿宋_GB2312" w:cs="仿宋_GB2312"/>
                <w:color w:val="000000"/>
                <w:sz w:val="24"/>
                <w:szCs w:val="24"/>
              </w:rPr>
            </w:pPr>
          </w:p>
          <w:p w14:paraId="24D45A69">
            <w:pPr>
              <w:widowControl/>
              <w:jc w:val="left"/>
              <w:rPr>
                <w:rFonts w:ascii="仿宋_GB2312" w:hAnsi="仿宋_GB2312" w:eastAsia="仿宋_GB2312" w:cs="仿宋_GB2312"/>
                <w:color w:val="000000"/>
                <w:sz w:val="24"/>
                <w:szCs w:val="24"/>
              </w:rPr>
            </w:pPr>
          </w:p>
          <w:p w14:paraId="1122DF19">
            <w:pPr>
              <w:widowControl/>
              <w:jc w:val="left"/>
              <w:rPr>
                <w:rFonts w:ascii="仿宋_GB2312" w:hAnsi="仿宋_GB2312" w:eastAsia="仿宋_GB2312" w:cs="仿宋_GB2312"/>
                <w:color w:val="000000"/>
                <w:sz w:val="24"/>
                <w:szCs w:val="24"/>
              </w:rPr>
            </w:pPr>
          </w:p>
          <w:p w14:paraId="0EE78AA2">
            <w:pPr>
              <w:widowControl/>
              <w:jc w:val="left"/>
              <w:rPr>
                <w:rFonts w:ascii="仿宋_GB2312" w:hAnsi="仿宋_GB2312" w:eastAsia="仿宋_GB2312" w:cs="仿宋_GB2312"/>
                <w:color w:val="000000"/>
                <w:sz w:val="24"/>
                <w:szCs w:val="24"/>
              </w:rPr>
            </w:pPr>
          </w:p>
          <w:p w14:paraId="15A202AC">
            <w:pPr>
              <w:widowControl/>
              <w:jc w:val="left"/>
              <w:rPr>
                <w:rFonts w:ascii="仿宋_GB2312" w:hAnsi="仿宋_GB2312" w:eastAsia="仿宋_GB2312" w:cs="仿宋_GB2312"/>
                <w:color w:val="000000"/>
                <w:sz w:val="24"/>
                <w:szCs w:val="24"/>
              </w:rPr>
            </w:pPr>
          </w:p>
          <w:p w14:paraId="7D9DB8F4">
            <w:pPr>
              <w:widowControl/>
              <w:jc w:val="left"/>
              <w:rPr>
                <w:rFonts w:ascii="仿宋_GB2312" w:hAnsi="仿宋_GB2312" w:eastAsia="仿宋_GB2312" w:cs="仿宋_GB2312"/>
                <w:color w:val="000000"/>
                <w:sz w:val="24"/>
                <w:szCs w:val="24"/>
              </w:rPr>
            </w:pPr>
          </w:p>
          <w:p w14:paraId="768FC172">
            <w:pPr>
              <w:widowControl/>
              <w:jc w:val="left"/>
              <w:rPr>
                <w:rFonts w:ascii="仿宋_GB2312" w:hAnsi="仿宋_GB2312" w:eastAsia="仿宋_GB2312" w:cs="仿宋_GB2312"/>
                <w:color w:val="000000"/>
                <w:sz w:val="24"/>
                <w:szCs w:val="24"/>
              </w:rPr>
            </w:pPr>
          </w:p>
          <w:p w14:paraId="3A0BE327">
            <w:pPr>
              <w:widowControl/>
              <w:jc w:val="left"/>
              <w:rPr>
                <w:rFonts w:ascii="仿宋_GB2312" w:hAnsi="仿宋_GB2312" w:eastAsia="仿宋_GB2312" w:cs="仿宋_GB2312"/>
                <w:color w:val="000000"/>
                <w:sz w:val="24"/>
                <w:szCs w:val="24"/>
              </w:rPr>
            </w:pPr>
          </w:p>
          <w:p w14:paraId="6A9FBE92">
            <w:pPr>
              <w:widowControl/>
              <w:jc w:val="left"/>
              <w:rPr>
                <w:rFonts w:ascii="仿宋_GB2312" w:hAnsi="仿宋_GB2312" w:eastAsia="仿宋_GB2312" w:cs="仿宋_GB2312"/>
                <w:color w:val="000000"/>
                <w:sz w:val="24"/>
                <w:szCs w:val="24"/>
              </w:rPr>
            </w:pPr>
          </w:p>
          <w:p w14:paraId="006C78F7">
            <w:pPr>
              <w:widowControl/>
              <w:jc w:val="left"/>
              <w:rPr>
                <w:rFonts w:ascii="仿宋_GB2312" w:hAnsi="仿宋_GB2312" w:eastAsia="仿宋_GB2312" w:cs="仿宋_GB2312"/>
                <w:color w:val="000000"/>
                <w:sz w:val="24"/>
                <w:szCs w:val="24"/>
              </w:rPr>
            </w:pPr>
          </w:p>
          <w:p w14:paraId="0134B2A3">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中心药房智能设备-全自动发药机</w:t>
            </w:r>
          </w:p>
        </w:tc>
        <w:tc>
          <w:tcPr>
            <w:tcW w:w="7515" w:type="dxa"/>
            <w:tcBorders>
              <w:top w:val="single" w:color="auto" w:sz="4" w:space="0"/>
              <w:left w:val="nil"/>
              <w:bottom w:val="single" w:color="auto" w:sz="4" w:space="0"/>
              <w:right w:val="single" w:color="auto" w:sz="4" w:space="0"/>
            </w:tcBorders>
            <w:shd w:val="clear" w:color="auto" w:fill="auto"/>
          </w:tcPr>
          <w:p w14:paraId="7252F558">
            <w:pPr>
              <w:numPr>
                <w:ilvl w:val="0"/>
                <w:numId w:val="1"/>
              </w:num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全自动快速发药机药品储存要求：品种数≥1400种，储药量≥17000盒。（提供产品技术说明书证明）</w:t>
            </w:r>
          </w:p>
          <w:p w14:paraId="2E3459E5">
            <w:pPr>
              <w:numPr>
                <w:ilvl w:val="0"/>
                <w:numId w:val="1"/>
              </w:num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根据医院发展需求和现场条件，发药机主机的正面宽度≤5米，厚度≤2.3米。发药机系统总占地面积≤15平米。（提供产品技术说明书证明）</w:t>
            </w:r>
          </w:p>
          <w:p w14:paraId="1172B90E">
            <w:pPr>
              <w:numPr>
                <w:ilvl w:val="0"/>
                <w:numId w:val="1"/>
              </w:num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全自动发药机的发药系统和补药系统为相对独立的模块，发药同时可以补药，二者互不影响。</w:t>
            </w:r>
          </w:p>
          <w:p w14:paraId="177F40EC">
            <w:pPr>
              <w:numPr>
                <w:ilvl w:val="0"/>
                <w:numId w:val="1"/>
              </w:num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全自动发药机必须具备在故障时，可让药师手工拿到所有机内储存药品进行应急发药的功能。（提供具有CMA或CNAS认证的第三方检测报告证明）</w:t>
            </w:r>
          </w:p>
          <w:p w14:paraId="04AF00C7">
            <w:pPr>
              <w:numPr>
                <w:ilvl w:val="0"/>
                <w:numId w:val="1"/>
              </w:num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电源：AC220V±20%，50~60HZ，设备控制低压24V，提供接地、过流保护、漏电保护功能。</w:t>
            </w:r>
          </w:p>
          <w:p w14:paraId="5F548FC9">
            <w:pPr>
              <w:numPr>
                <w:ilvl w:val="0"/>
                <w:numId w:val="1"/>
              </w:num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全自动发药机可与医院HIS系统实现无缝对接。</w:t>
            </w:r>
          </w:p>
          <w:p w14:paraId="7A06A09C">
            <w:pPr>
              <w:numPr>
                <w:ilvl w:val="0"/>
                <w:numId w:val="1"/>
              </w:numPr>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▲设备生产厂家应具备ISO27001信息安全管理体系认证。（提供证书复印件并盖公章）</w:t>
            </w:r>
          </w:p>
          <w:p w14:paraId="71A0407E">
            <w:pPr>
              <w:widowControl/>
              <w:jc w:val="left"/>
              <w:rPr>
                <w:rFonts w:ascii="仿宋_GB2312" w:hAnsi="仿宋_GB2312" w:eastAsia="仿宋_GB2312" w:cs="仿宋_GB2312"/>
                <w:color w:val="000000"/>
                <w:sz w:val="24"/>
                <w:szCs w:val="24"/>
              </w:rPr>
            </w:pPr>
          </w:p>
        </w:tc>
        <w:tc>
          <w:tcPr>
            <w:tcW w:w="614" w:type="dxa"/>
            <w:tcBorders>
              <w:top w:val="single" w:color="auto" w:sz="4" w:space="0"/>
              <w:left w:val="nil"/>
              <w:bottom w:val="single" w:color="auto" w:sz="4" w:space="0"/>
              <w:right w:val="single" w:color="auto" w:sz="4" w:space="0"/>
            </w:tcBorders>
            <w:shd w:val="clear" w:color="auto" w:fill="auto"/>
            <w:vAlign w:val="center"/>
          </w:tcPr>
          <w:p w14:paraId="20091CB2">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25" w:type="dxa"/>
            <w:tcBorders>
              <w:top w:val="single" w:color="auto" w:sz="4" w:space="0"/>
              <w:left w:val="nil"/>
              <w:bottom w:val="single" w:color="auto" w:sz="4" w:space="0"/>
              <w:right w:val="single" w:color="auto" w:sz="4" w:space="0"/>
            </w:tcBorders>
            <w:shd w:val="clear" w:color="auto" w:fill="auto"/>
            <w:vAlign w:val="center"/>
          </w:tcPr>
          <w:p w14:paraId="61C6D796">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套</w:t>
            </w:r>
          </w:p>
        </w:tc>
        <w:tc>
          <w:tcPr>
            <w:tcW w:w="2910" w:type="dxa"/>
            <w:tcBorders>
              <w:top w:val="single" w:color="auto" w:sz="4" w:space="0"/>
              <w:left w:val="nil"/>
              <w:bottom w:val="single" w:color="auto" w:sz="4" w:space="0"/>
              <w:right w:val="single" w:color="auto" w:sz="4" w:space="0"/>
            </w:tcBorders>
            <w:shd w:val="clear" w:color="auto" w:fill="auto"/>
            <w:vAlign w:val="center"/>
          </w:tcPr>
          <w:p w14:paraId="3BD4DB8E">
            <w:pPr>
              <w:widowControl/>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包含以下设备参数报价</w:t>
            </w:r>
          </w:p>
          <w:p w14:paraId="3EA20205">
            <w:pPr>
              <w:widowControl/>
              <w:numPr>
                <w:ilvl w:val="0"/>
                <w:numId w:val="2"/>
              </w:numPr>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自动发药机2台</w:t>
            </w:r>
          </w:p>
          <w:p w14:paraId="0CF9836B">
            <w:pPr>
              <w:widowControl/>
              <w:numPr>
                <w:ilvl w:val="0"/>
                <w:numId w:val="2"/>
              </w:numPr>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实时发药通道4条</w:t>
            </w:r>
          </w:p>
          <w:p w14:paraId="50D7FDAF">
            <w:pPr>
              <w:widowControl/>
              <w:numPr>
                <w:ilvl w:val="0"/>
                <w:numId w:val="2"/>
              </w:numPr>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螺旋出药滑道4条</w:t>
            </w:r>
          </w:p>
          <w:p w14:paraId="11D1163C">
            <w:pPr>
              <w:widowControl/>
              <w:numPr>
                <w:ilvl w:val="0"/>
                <w:numId w:val="2"/>
              </w:numPr>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智能批量补药机2台</w:t>
            </w:r>
          </w:p>
          <w:p w14:paraId="2BF02AB4">
            <w:pPr>
              <w:widowControl/>
              <w:numPr>
                <w:ilvl w:val="0"/>
                <w:numId w:val="2"/>
              </w:numPr>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提升机2台</w:t>
            </w:r>
          </w:p>
          <w:p w14:paraId="65547A72">
            <w:pPr>
              <w:widowControl/>
              <w:numPr>
                <w:ilvl w:val="0"/>
                <w:numId w:val="2"/>
              </w:numPr>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智能预配货架4台</w:t>
            </w:r>
          </w:p>
          <w:p w14:paraId="52A06401">
            <w:pPr>
              <w:widowControl/>
              <w:numPr>
                <w:ilvl w:val="0"/>
                <w:numId w:val="2"/>
              </w:numPr>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拆零分包机1台</w:t>
            </w:r>
          </w:p>
          <w:p w14:paraId="2023F337">
            <w:pPr>
              <w:widowControl/>
              <w:numPr>
                <w:ilvl w:val="0"/>
                <w:numId w:val="2"/>
              </w:numPr>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麻精药品管理柜1台</w:t>
            </w:r>
          </w:p>
        </w:tc>
      </w:tr>
    </w:tbl>
    <w:p w14:paraId="41B52B25">
      <w:pPr>
        <w:spacing w:before="163"/>
        <w:rPr>
          <w:rFonts w:hint="eastAsia" w:ascii="仿宋_GB2312" w:hAnsi="仿宋_GB2312" w:eastAsia="仿宋_GB2312" w:cs="仿宋_GB2312"/>
          <w:b/>
          <w:bCs/>
          <w:sz w:val="28"/>
          <w:szCs w:val="28"/>
        </w:rPr>
      </w:pPr>
    </w:p>
    <w:p w14:paraId="7526D311">
      <w:pPr>
        <w:spacing w:before="16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报价要求：</w:t>
      </w:r>
    </w:p>
    <w:p w14:paraId="32159E97">
      <w:pPr>
        <w:numPr>
          <w:ilvl w:val="0"/>
          <w:numId w:val="3"/>
        </w:numPr>
        <w:spacing w:before="16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所有的系统报价都需要包含所有系统接口费以及后续五级电子病历、互联互通四甲的改造费用。</w:t>
      </w:r>
    </w:p>
    <w:p w14:paraId="6367B4E9">
      <w:pPr>
        <w:numPr>
          <w:ilvl w:val="0"/>
          <w:numId w:val="3"/>
        </w:numPr>
        <w:spacing w:before="16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所有报价的系统都必须达到五级电子病历、互联互通四甲的要求，如后续无法满足，将由报价公司承担所有相关的费用。</w:t>
      </w:r>
    </w:p>
    <w:p w14:paraId="2089BED6">
      <w:pPr>
        <w:numPr>
          <w:ilvl w:val="0"/>
          <w:numId w:val="3"/>
        </w:numPr>
        <w:spacing w:before="16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所有系统报价需要包含免费维护期3年以上，需要包含对应系统的基础硬件，保证系统的正常使用。</w:t>
      </w:r>
    </w:p>
    <w:p w14:paraId="3D92D19D">
      <w:pPr>
        <w:numPr>
          <w:ilvl w:val="0"/>
          <w:numId w:val="3"/>
        </w:numPr>
        <w:spacing w:before="16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所有报价系统需满足在国产化操作系统及数据库上部署，需满足网络安全等级保护三级要求。</w:t>
      </w:r>
    </w:p>
    <w:p w14:paraId="11CE46D1">
      <w:pPr>
        <w:numPr>
          <w:ilvl w:val="0"/>
          <w:numId w:val="3"/>
        </w:numPr>
        <w:spacing w:before="16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报价需包含与医院现有系统对接、过往已有的各类接口对接及第三方系统所需的接口对接费用。</w:t>
      </w:r>
    </w:p>
    <w:p w14:paraId="4CB7AD4B">
      <w:pPr>
        <w:numPr>
          <w:ilvl w:val="0"/>
          <w:numId w:val="3"/>
        </w:numPr>
        <w:spacing w:before="16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报价需包含项目建设期、免费维护期内新增的系统接口。</w:t>
      </w:r>
    </w:p>
    <w:p w14:paraId="3AD96B6A">
      <w:pPr>
        <w:spacing w:before="156"/>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EABF2"/>
    <w:multiLevelType w:val="singleLevel"/>
    <w:tmpl w:val="B7AEABF2"/>
    <w:lvl w:ilvl="0" w:tentative="0">
      <w:start w:val="1"/>
      <w:numFmt w:val="decimal"/>
      <w:suff w:val="nothing"/>
      <w:lvlText w:val="%1、"/>
      <w:lvlJc w:val="left"/>
    </w:lvl>
  </w:abstractNum>
  <w:abstractNum w:abstractNumId="1">
    <w:nsid w:val="D5B14A54"/>
    <w:multiLevelType w:val="multilevel"/>
    <w:tmpl w:val="D5B14A54"/>
    <w:lvl w:ilvl="0" w:tentative="0">
      <w:start w:val="1"/>
      <w:numFmt w:val="decimal"/>
      <w:lvlText w:val="%1."/>
      <w:lvlJc w:val="left"/>
      <w:pPr>
        <w:ind w:left="425"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C91DC9C"/>
    <w:multiLevelType w:val="singleLevel"/>
    <w:tmpl w:val="2C91DC9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DF"/>
    <w:rsid w:val="000D3BD3"/>
    <w:rsid w:val="002D755E"/>
    <w:rsid w:val="0041318C"/>
    <w:rsid w:val="004D3FED"/>
    <w:rsid w:val="005A475E"/>
    <w:rsid w:val="006B4F71"/>
    <w:rsid w:val="007D57AA"/>
    <w:rsid w:val="00882ADF"/>
    <w:rsid w:val="008D7B77"/>
    <w:rsid w:val="00904638"/>
    <w:rsid w:val="0092098A"/>
    <w:rsid w:val="00A94BF1"/>
    <w:rsid w:val="00B566A2"/>
    <w:rsid w:val="00B62D2F"/>
    <w:rsid w:val="00BD18F7"/>
    <w:rsid w:val="00C568AF"/>
    <w:rsid w:val="00C72057"/>
    <w:rsid w:val="00CB7174"/>
    <w:rsid w:val="00D07B03"/>
    <w:rsid w:val="00D20A04"/>
    <w:rsid w:val="00E46AD2"/>
    <w:rsid w:val="00E5221E"/>
    <w:rsid w:val="00EB7280"/>
    <w:rsid w:val="010C0ECD"/>
    <w:rsid w:val="01330A0F"/>
    <w:rsid w:val="022A5A42"/>
    <w:rsid w:val="032C5D0B"/>
    <w:rsid w:val="05FB0FDC"/>
    <w:rsid w:val="06317676"/>
    <w:rsid w:val="06940DBE"/>
    <w:rsid w:val="08C26385"/>
    <w:rsid w:val="08EB1547"/>
    <w:rsid w:val="097E596A"/>
    <w:rsid w:val="0A40422F"/>
    <w:rsid w:val="0AA43C12"/>
    <w:rsid w:val="0B070A66"/>
    <w:rsid w:val="0B6E2629"/>
    <w:rsid w:val="0CC955BE"/>
    <w:rsid w:val="104E4EE0"/>
    <w:rsid w:val="105E064F"/>
    <w:rsid w:val="11CB4C13"/>
    <w:rsid w:val="17AD5702"/>
    <w:rsid w:val="18A11A90"/>
    <w:rsid w:val="18B45435"/>
    <w:rsid w:val="19765562"/>
    <w:rsid w:val="1A537C59"/>
    <w:rsid w:val="1B1F0B0A"/>
    <w:rsid w:val="1F4157E8"/>
    <w:rsid w:val="20A25F50"/>
    <w:rsid w:val="22216D5D"/>
    <w:rsid w:val="23927375"/>
    <w:rsid w:val="25AF19A3"/>
    <w:rsid w:val="2617133D"/>
    <w:rsid w:val="26E02C80"/>
    <w:rsid w:val="277B74B3"/>
    <w:rsid w:val="28700B51"/>
    <w:rsid w:val="29C56BF1"/>
    <w:rsid w:val="2CE44A1E"/>
    <w:rsid w:val="2D944DDF"/>
    <w:rsid w:val="2F7927E8"/>
    <w:rsid w:val="3013068F"/>
    <w:rsid w:val="30D342E9"/>
    <w:rsid w:val="3203063F"/>
    <w:rsid w:val="35F36E10"/>
    <w:rsid w:val="36B87A1E"/>
    <w:rsid w:val="380628FC"/>
    <w:rsid w:val="38D66643"/>
    <w:rsid w:val="3C0673D1"/>
    <w:rsid w:val="3D475E43"/>
    <w:rsid w:val="3D881438"/>
    <w:rsid w:val="3F9341E0"/>
    <w:rsid w:val="40BE641C"/>
    <w:rsid w:val="40E0509E"/>
    <w:rsid w:val="41322466"/>
    <w:rsid w:val="41FD11BE"/>
    <w:rsid w:val="41FF0A9A"/>
    <w:rsid w:val="43A6482A"/>
    <w:rsid w:val="43BD22A5"/>
    <w:rsid w:val="43DE6DD5"/>
    <w:rsid w:val="47A65E5C"/>
    <w:rsid w:val="48810544"/>
    <w:rsid w:val="49725FF6"/>
    <w:rsid w:val="4AC21724"/>
    <w:rsid w:val="4B78366B"/>
    <w:rsid w:val="4C687565"/>
    <w:rsid w:val="4D1A1305"/>
    <w:rsid w:val="4ED5067D"/>
    <w:rsid w:val="4F7629A2"/>
    <w:rsid w:val="51316351"/>
    <w:rsid w:val="526D1A50"/>
    <w:rsid w:val="535B25E3"/>
    <w:rsid w:val="538E3ABE"/>
    <w:rsid w:val="54745318"/>
    <w:rsid w:val="55BD3B21"/>
    <w:rsid w:val="563034C0"/>
    <w:rsid w:val="577D2735"/>
    <w:rsid w:val="5CB418F8"/>
    <w:rsid w:val="5D2331A2"/>
    <w:rsid w:val="5F0401A3"/>
    <w:rsid w:val="5F105C3D"/>
    <w:rsid w:val="5FAF2999"/>
    <w:rsid w:val="5FBD231B"/>
    <w:rsid w:val="608223D6"/>
    <w:rsid w:val="60966624"/>
    <w:rsid w:val="60C07BA4"/>
    <w:rsid w:val="62507A1F"/>
    <w:rsid w:val="6370623A"/>
    <w:rsid w:val="64611F1D"/>
    <w:rsid w:val="64A20573"/>
    <w:rsid w:val="65183A9D"/>
    <w:rsid w:val="66E63727"/>
    <w:rsid w:val="66F35A97"/>
    <w:rsid w:val="69DC778F"/>
    <w:rsid w:val="69E93980"/>
    <w:rsid w:val="6A220183"/>
    <w:rsid w:val="6B7E7453"/>
    <w:rsid w:val="6C2A1EEF"/>
    <w:rsid w:val="72EA343C"/>
    <w:rsid w:val="74AD0CD9"/>
    <w:rsid w:val="79611476"/>
    <w:rsid w:val="79C668B6"/>
    <w:rsid w:val="7A6D7F90"/>
    <w:rsid w:val="7B89704B"/>
    <w:rsid w:val="7CC368EA"/>
    <w:rsid w:val="7DB12040"/>
    <w:rsid w:val="7E1370A0"/>
    <w:rsid w:val="7ED4361B"/>
    <w:rsid w:val="7F412A04"/>
    <w:rsid w:val="7F9D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4ED14-ED59-476D-9B09-71EBD7CEC1F9}">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8262</Words>
  <Characters>9034</Characters>
  <Lines>65</Lines>
  <Paragraphs>18</Paragraphs>
  <TotalTime>2</TotalTime>
  <ScaleCrop>false</ScaleCrop>
  <LinksUpToDate>false</LinksUpToDate>
  <CharactersWithSpaces>9071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2025-06-30T01:53:00Z</dcterms:created>
  <dc:creator>OA管理员</dc:creator>
  <cp:lastModifiedBy>韦琛铧</cp:lastModifiedBy>
  <dcterms:modified xsi:type="dcterms:W3CDTF">2025-07-01T07:33:47Z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eyJoZGlkIjoiYWQzZTU3MzQ3OGQ2MzRjZWQxOWNlNjQ1MDhiMmYwZDMiLCJ1c2VySWQiOiI1MjA1NDM4NjMifQ==</vt:lpwstr>
  </property>
  <property fmtid="{D5CDD505-2E9C-101B-9397-08002B2CF9AE}" pid="3" name="KSOProductBuildVer">
    <vt:lpwstr>2052-12.1.0.21171</vt:lpwstr>
  </property>
  <property fmtid="{D5CDD505-2E9C-101B-9397-08002B2CF9AE}" pid="4" name="ICV">
    <vt:lpwstr>48F32F84650947CEA4B8AB4C8140F349_12</vt:lpwstr>
  </property>
</Properties>
</file>