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台式冷冻离心机（50ml）采购项目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2025年5</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14383"/>
      <w:bookmarkStart w:id="1" w:name="_Toc97049019"/>
      <w:bookmarkStart w:id="2" w:name="_Toc97049453"/>
      <w:bookmarkStart w:id="3" w:name="_Toc23897"/>
      <w:bookmarkStart w:id="4" w:name="_Toc5414"/>
      <w:bookmarkStart w:id="5" w:name="_Toc97049014"/>
      <w:bookmarkStart w:id="6" w:name="_Toc97048637"/>
      <w:bookmarkStart w:id="7" w:name="_Toc97042583"/>
      <w:bookmarkStart w:id="8" w:name="_Toc22955"/>
      <w:bookmarkStart w:id="9" w:name="_Toc97048959"/>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3953"/>
      <w:bookmarkStart w:id="11" w:name="_Toc9524"/>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29187"/>
      <w:bookmarkStart w:id="14" w:name="_Toc1084"/>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31913"/>
      <w:bookmarkStart w:id="16" w:name="_Toc5655"/>
      <w:bookmarkStart w:id="17" w:name="_Toc240798137"/>
      <w:bookmarkStart w:id="18" w:name="_Toc470852870"/>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32649"/>
      <w:bookmarkStart w:id="20" w:name="_Toc163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20365"/>
      <w:bookmarkStart w:id="22" w:name="_Toc31419"/>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6646"/>
      <w:bookmarkStart w:id="24" w:name="_Toc17660"/>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31899"/>
      <w:bookmarkStart w:id="26" w:name="_Toc12886"/>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6"/>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是指台式冷冻离心机采购项目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1</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15</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15</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cs="Times New Roman"/>
                <w:szCs w:val="21"/>
                <w:highlight w:val="none"/>
                <w:lang w:val="en-US" w:eastAsia="zh-CN"/>
              </w:rPr>
            </w:pPr>
            <w:r>
              <w:rPr>
                <w:rFonts w:hint="eastAsia" w:cs="Times New Roman"/>
                <w:szCs w:val="21"/>
                <w:highlight w:val="none"/>
                <w:lang w:val="en-US" w:eastAsia="zh-CN"/>
              </w:rPr>
              <w:t>2</w:t>
            </w:r>
          </w:p>
        </w:tc>
        <w:tc>
          <w:tcPr>
            <w:tcW w:w="1411" w:type="dxa"/>
            <w:shd w:val="clear" w:color="auto" w:fill="auto"/>
            <w:vAlign w:val="center"/>
          </w:tcPr>
          <w:p>
            <w:pPr>
              <w:jc w:val="center"/>
              <w:rPr>
                <w:rFonts w:eastAsia="宋体"/>
                <w:sz w:val="21"/>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sz w:val="21"/>
                <w:szCs w:val="21"/>
                <w:highlight w:val="none"/>
                <w:lang w:val="en-US" w:eastAsia="zh-CN"/>
              </w:rPr>
              <w:t>重要</w:t>
            </w:r>
            <w:r>
              <w:rPr>
                <w:rFonts w:hint="eastAsia" w:eastAsia="宋体"/>
                <w:sz w:val="21"/>
                <w:szCs w:val="21"/>
                <w:highlight w:val="none"/>
                <w:lang w:val="en-US" w:eastAsia="zh-CN"/>
              </w:rPr>
              <w:t>技术</w:t>
            </w:r>
            <w:r>
              <w:rPr>
                <w:rFonts w:eastAsia="宋体"/>
                <w:sz w:val="21"/>
                <w:szCs w:val="21"/>
                <w:highlight w:val="none"/>
              </w:rPr>
              <w:t>要求条款（“▲”号条款）的响应情况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sz w:val="21"/>
                <w:szCs w:val="21"/>
                <w:highlight w:val="none"/>
              </w:rPr>
            </w:pPr>
            <w:r>
              <w:rPr>
                <w:rFonts w:hint="eastAsia" w:eastAsia="宋体"/>
                <w:sz w:val="21"/>
                <w:szCs w:val="21"/>
                <w:highlight w:val="none"/>
              </w:rPr>
              <w:t>根据报名文件对技术要求条款中的</w:t>
            </w:r>
            <w:r>
              <w:rPr>
                <w:rFonts w:hint="eastAsia"/>
                <w:sz w:val="21"/>
                <w:szCs w:val="21"/>
                <w:highlight w:val="none"/>
                <w:lang w:val="en-US" w:eastAsia="zh-CN"/>
              </w:rPr>
              <w:t>重要</w:t>
            </w:r>
            <w:r>
              <w:rPr>
                <w:rFonts w:hint="eastAsia" w:eastAsia="宋体"/>
                <w:sz w:val="21"/>
                <w:szCs w:val="21"/>
                <w:highlight w:val="none"/>
              </w:rPr>
              <w:t>技术要求（“▲”号技术/服务条款）的响应情况进行评审</w:t>
            </w:r>
            <w:r>
              <w:rPr>
                <w:rFonts w:hint="eastAsia" w:eastAsia="宋体"/>
                <w:color w:val="FF0000"/>
                <w:sz w:val="21"/>
                <w:szCs w:val="21"/>
                <w:highlight w:val="none"/>
                <w:lang w:val="en-US" w:eastAsia="zh-CN"/>
              </w:rPr>
              <w:t>每项</w:t>
            </w:r>
            <w:r>
              <w:rPr>
                <w:rFonts w:hint="eastAsia"/>
                <w:color w:val="FF0000"/>
                <w:sz w:val="21"/>
                <w:szCs w:val="21"/>
                <w:highlight w:val="none"/>
                <w:lang w:val="en-US" w:eastAsia="zh-CN"/>
              </w:rPr>
              <w:t>重要</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2</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16</w:t>
            </w:r>
            <w:r>
              <w:rPr>
                <w:rFonts w:hint="eastAsia" w:eastAsia="宋体"/>
                <w:color w:val="FF0000"/>
                <w:sz w:val="21"/>
                <w:szCs w:val="21"/>
                <w:highlight w:val="none"/>
              </w:rPr>
              <w:t>分</w:t>
            </w:r>
            <w:r>
              <w:rPr>
                <w:rFonts w:hint="eastAsia" w:eastAsia="宋体"/>
                <w:sz w:val="21"/>
                <w:szCs w:val="21"/>
                <w:highlight w:val="none"/>
              </w:rPr>
              <w:t>。</w:t>
            </w:r>
            <w:bookmarkStart w:id="158" w:name="_GoBack"/>
            <w:bookmarkEnd w:id="158"/>
          </w:p>
        </w:tc>
        <w:tc>
          <w:tcPr>
            <w:tcW w:w="840" w:type="dxa"/>
            <w:vAlign w:val="center"/>
          </w:tcPr>
          <w:p>
            <w:pPr>
              <w:adjustRightInd w:val="0"/>
              <w:snapToGrid w:val="0"/>
              <w:jc w:val="center"/>
              <w:rPr>
                <w:rFonts w:hint="default" w:cs="Times New Roman"/>
                <w:szCs w:val="21"/>
                <w:highlight w:val="none"/>
                <w:lang w:val="en-US" w:eastAsia="zh-CN"/>
              </w:rPr>
            </w:pPr>
            <w:r>
              <w:rPr>
                <w:rFonts w:hint="eastAsia" w:cs="Times New Roman"/>
                <w:szCs w:val="21"/>
                <w:highlight w:val="none"/>
                <w:lang w:val="en-US" w:eastAsia="zh-CN"/>
              </w:rPr>
              <w:t>16</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3</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1</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4</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r>
              <w:rPr>
                <w:rFonts w:hint="eastAsia" w:cs="Times New Roman"/>
                <w:b w:val="0"/>
                <w:bCs w:val="0"/>
                <w:szCs w:val="21"/>
                <w:lang w:eastAsia="zh-CN"/>
              </w:rPr>
              <w:t>。</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8</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3</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4</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8"/>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6"/>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6"/>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8"/>
        <w:spacing w:line="360" w:lineRule="auto"/>
        <w:ind w:firstLine="400"/>
        <w:rPr>
          <w:rFonts w:cs="宋体"/>
          <w:szCs w:val="20"/>
        </w:rPr>
      </w:pPr>
    </w:p>
    <w:p>
      <w:pPr>
        <w:pStyle w:val="28"/>
        <w:spacing w:line="360" w:lineRule="auto"/>
        <w:ind w:firstLine="480"/>
        <w:rPr>
          <w:rFonts w:cs="宋体"/>
          <w:szCs w:val="20"/>
        </w:rPr>
      </w:pPr>
    </w:p>
    <w:p>
      <w:pPr>
        <w:pStyle w:val="2"/>
        <w:pageBreakBefore/>
        <w:rPr>
          <w:rStyle w:val="155"/>
          <w:rFonts w:ascii="宋体" w:hAnsi="宋体" w:eastAsia="宋体" w:cs="宋体"/>
          <w:b/>
          <w:bCs/>
        </w:rPr>
      </w:pPr>
      <w:bookmarkStart w:id="27" w:name="_Toc97049015"/>
      <w:bookmarkStart w:id="28" w:name="_Toc17854"/>
      <w:bookmarkStart w:id="29" w:name="_Toc97042588"/>
      <w:bookmarkStart w:id="30" w:name="_Toc19293"/>
      <w:bookmarkStart w:id="31" w:name="_Toc97048642"/>
      <w:bookmarkStart w:id="32" w:name="_Toc4600"/>
      <w:bookmarkStart w:id="33" w:name="_Toc97049458"/>
      <w:bookmarkStart w:id="34" w:name="_Toc97048964"/>
      <w:bookmarkStart w:id="35" w:name="_Toc97049024"/>
      <w:bookmarkStart w:id="36" w:name="_Toc19972"/>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3015"/>
      <w:bookmarkStart w:id="38" w:name="_Toc26296"/>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13237"/>
      <w:bookmarkStart w:id="40" w:name="_Toc84"/>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szCs w:val="21"/>
                <w:highlight w:val="none"/>
                <w:lang w:val="en-US" w:eastAsia="zh-CN" w:bidi="ar"/>
              </w:rPr>
              <w:t>台式冷冻离心机（50ml）</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台</w:t>
            </w:r>
          </w:p>
        </w:tc>
        <w:tc>
          <w:tcPr>
            <w:tcW w:w="4042" w:type="dxa"/>
            <w:tcMar>
              <w:top w:w="0" w:type="dxa"/>
              <w:left w:w="125" w:type="dxa"/>
              <w:bottom w:w="0" w:type="dxa"/>
              <w:right w:w="125" w:type="dxa"/>
            </w:tcMar>
            <w:vAlign w:val="center"/>
          </w:tcPr>
          <w:p>
            <w:pPr>
              <w:pStyle w:val="32"/>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32"/>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rPr>
          <w:rFonts w:hint="eastAsia" w:ascii="宋体" w:hAnsi="宋体" w:eastAsia="宋体" w:cs="宋体"/>
          <w:sz w:val="24"/>
          <w:szCs w:val="24"/>
          <w:lang w:eastAsia="zh-CN"/>
        </w:rPr>
      </w:pPr>
      <w:bookmarkStart w:id="43" w:name="_Toc22606"/>
      <w:bookmarkStart w:id="44" w:name="_Toc24364"/>
      <w:bookmarkStart w:id="45" w:name="_Toc49938637"/>
      <w:r>
        <w:rPr>
          <w:rFonts w:hint="eastAsia" w:ascii="宋体" w:hAnsi="宋体" w:eastAsia="宋体" w:cs="宋体"/>
          <w:sz w:val="24"/>
          <w:szCs w:val="24"/>
          <w:lang w:eastAsia="zh-CN"/>
        </w:rPr>
        <w:t>台式冷冻离心机（15/50ml）：</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1、最大相对离心力（rcf）：≥ 20,913 × g（≥ 14,000 rpm）</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2、转速/离心力： 200‐14,000 rpm</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200‐5,000 rpm，10 rpm 递增</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5,000-14,000 rpm, 100 rpm递增</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3、离心力： 10-20,913 x g</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10-3,000 x g, 10 x g 递增</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3,000-20,913 x g，100 x g递增</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4、离心时间：1 min ‐ 99 min，1 min 递增；</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5、最大转子容量： ≥4 × 250 mL 离心管；</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▲6、噪音水平：≤58 dB(A)（角转），≤56 dB(A)（水平）</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7、最大容量：≥4 × 250 mL （水平转子），6 × 85 mL、48 × 1.5 /2.0 mL、20 × 5 mL Eppendorf Safe-Lock 管、48 × 15 mL 玻璃管（ 固定角转），10 × MTP（工作板转子）</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▲8、具备自动识别转子（只要轻轻转动转子即可识别转子型号，更换吊篮也无需手动选择吊篮型号）、限速控制和转子失衡控制等功能，确保离心安全</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9、可选择程序记忆功能，最多存储35 个用户程序</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▲10、独有 Eppendorf QuickLock® 快速锁定转子盖，仅需旋转1/4圈即可快速、可靠地锁紧或打开转子盖；铝合金材质转子, 导热性好，保护温度敏感性样品；转子使用寿命可高达 100,000 次</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11、具有5 ml Ep固定角转，离心力不小于20,913 × g</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▲12、工作板转子，最大承载高度不小于89 mm</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13、可选10 个加速档和10 个刹车档，保护敏感样品，防止样品重悬</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14、所有转子（除S-4-72 水平转子外）、转子盖、吊篮、吊篮盖和适配器均可高温高压灭菌（121 °C，20 分钟）</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15、定速计时功能，达到预定转速后才开始倒计时，提高离心重复性</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▲16、离心结束后，离心机盖自动开启，防止样品过热，方便取放样品</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17、 CE 认证，CFDA 认证，产品符合 IVD（98 / 79 / EG) 欧洲标准</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▲18、具有气密性转子盖，转子气密性经由英国Porton Down的应用微生物研究中心（CAMR）测试并认证，可高温高压灭菌</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19、温度范围：-9 °C 至40 °C</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20、待机冷却功能，离心机盖关闭的状态下保持设定温度 </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21、高效压缩机控制，优化制冷性能</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▲22、 ECO 自动待机功能，8 小时不使用后自动待机，节约能耗，延长压缩机使用寿命；内置冷凝水槽，避免水珠积聚，防止腐蚀；快速制冷功能，只需15 分钟即可预冷腔体；转子在最高转速下，仍可以保持4 °C</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▲23、紧急开盖孔位于机器前面，方便紧急开盖，离心腔体上面带方向箭头，确保转子自动识别方向正确，同时开关位于机器左边方便开关机器</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配置清单：</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1、离心机主机1台；</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2、4x250ml水平转子1个；</w:t>
      </w:r>
    </w:p>
    <w:p>
      <w:pPr>
        <w:rPr>
          <w:rFonts w:hint="eastAsia" w:ascii="宋体" w:hAnsi="宋体" w:eastAsia="宋体" w:cs="宋体"/>
          <w:sz w:val="24"/>
          <w:szCs w:val="24"/>
          <w:lang w:eastAsia="zh-CN"/>
        </w:rPr>
      </w:pPr>
      <w:r>
        <w:rPr>
          <w:rFonts w:hint="eastAsia" w:ascii="宋体" w:hAnsi="宋体" w:cs="宋体"/>
          <w:sz w:val="24"/>
          <w:szCs w:val="24"/>
          <w:lang w:val="en-US" w:eastAsia="zh-CN"/>
        </w:rPr>
        <w:t>3</w:t>
      </w:r>
      <w:r>
        <w:rPr>
          <w:rFonts w:hint="eastAsia" w:ascii="宋体" w:hAnsi="宋体" w:eastAsia="宋体" w:cs="宋体"/>
          <w:sz w:val="24"/>
          <w:szCs w:val="24"/>
          <w:lang w:eastAsia="zh-CN"/>
        </w:rPr>
        <w:t>、15ml离心管适配器4个；</w:t>
      </w:r>
    </w:p>
    <w:p>
      <w:pPr>
        <w:rPr>
          <w:rFonts w:hint="eastAsia" w:ascii="宋体" w:hAnsi="宋体" w:eastAsia="宋体" w:cs="宋体"/>
          <w:sz w:val="24"/>
          <w:szCs w:val="24"/>
          <w:lang w:eastAsia="zh-CN"/>
        </w:rPr>
      </w:pPr>
      <w:r>
        <w:rPr>
          <w:rFonts w:hint="eastAsia" w:ascii="宋体" w:hAnsi="宋体" w:cs="宋体"/>
          <w:sz w:val="24"/>
          <w:szCs w:val="24"/>
          <w:lang w:val="en-US" w:eastAsia="zh-CN"/>
        </w:rPr>
        <w:t>4</w:t>
      </w:r>
      <w:r>
        <w:rPr>
          <w:rFonts w:hint="eastAsia" w:ascii="宋体" w:hAnsi="宋体" w:eastAsia="宋体" w:cs="宋体"/>
          <w:sz w:val="24"/>
          <w:szCs w:val="24"/>
          <w:lang w:eastAsia="zh-CN"/>
        </w:rPr>
        <w:t>、50ml离心管适配器4个</w:t>
      </w:r>
    </w:p>
    <w:p>
      <w:pPr>
        <w:rPr>
          <w:rFonts w:hint="eastAsia"/>
        </w:rPr>
      </w:pPr>
      <w:r>
        <w:rPr>
          <w:rFonts w:hint="eastAsia" w:ascii="宋体" w:hAnsi="宋体" w:cs="宋体"/>
          <w:sz w:val="24"/>
          <w:szCs w:val="24"/>
          <w:lang w:val="en-US" w:eastAsia="zh-CN"/>
        </w:rPr>
        <w:t>5</w:t>
      </w:r>
      <w:r>
        <w:rPr>
          <w:rFonts w:hint="eastAsia" w:ascii="宋体" w:hAnsi="宋体" w:eastAsia="宋体" w:cs="宋体"/>
          <w:sz w:val="24"/>
          <w:szCs w:val="24"/>
          <w:lang w:eastAsia="zh-CN"/>
        </w:rPr>
        <w:t>、电源线1条</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29572"/>
      <w:bookmarkStart w:id="47" w:name="_Toc4795"/>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7042591"/>
      <w:bookmarkStart w:id="49" w:name="_Toc97049016"/>
      <w:bookmarkStart w:id="50" w:name="_Toc9145"/>
      <w:bookmarkStart w:id="51" w:name="_Toc10033"/>
      <w:bookmarkStart w:id="52" w:name="_Toc97048967"/>
      <w:bookmarkStart w:id="53" w:name="_Toc97049461"/>
      <w:bookmarkStart w:id="54" w:name="_Toc97048645"/>
      <w:bookmarkStart w:id="55" w:name="_Toc97049027"/>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27945"/>
      <w:bookmarkStart w:id="57" w:name="_Toc30510"/>
      <w:r>
        <w:rPr>
          <w:rStyle w:val="155"/>
          <w:rFonts w:hint="eastAsia" w:ascii="宋体" w:hAnsi="宋体" w:eastAsia="宋体" w:cs="宋体"/>
          <w:b/>
          <w:bCs/>
        </w:rPr>
        <w:t>第三章 报名文件资料模板</w:t>
      </w:r>
      <w:bookmarkEnd w:id="56"/>
      <w:bookmarkEnd w:id="57"/>
    </w:p>
    <w:p>
      <w:pPr>
        <w:pStyle w:val="28"/>
        <w:spacing w:line="360" w:lineRule="auto"/>
        <w:rPr>
          <w:rFonts w:cs="宋体"/>
          <w:color w:val="FF0000"/>
          <w:sz w:val="36"/>
          <w:szCs w:val="20"/>
        </w:rPr>
      </w:pPr>
    </w:p>
    <w:p>
      <w:pPr>
        <w:pStyle w:val="28"/>
        <w:spacing w:line="360" w:lineRule="auto"/>
        <w:rPr>
          <w:rFonts w:cs="宋体"/>
          <w:b/>
          <w:color w:val="FF0000"/>
          <w:sz w:val="36"/>
          <w:szCs w:val="20"/>
        </w:rPr>
      </w:pPr>
    </w:p>
    <w:p>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2"/>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3"/>
        <w:spacing w:line="360" w:lineRule="auto"/>
        <w:ind w:firstLine="643" w:firstLineChars="200"/>
        <w:rPr>
          <w:rFonts w:cs="宋体"/>
          <w:b/>
          <w:sz w:val="32"/>
          <w:szCs w:val="32"/>
          <w:u w:val="thick"/>
        </w:rPr>
      </w:pPr>
      <w:r>
        <w:rPr>
          <w:rFonts w:hint="eastAsia" w:cs="宋体"/>
          <w:b/>
          <w:sz w:val="32"/>
          <w:szCs w:val="32"/>
        </w:rPr>
        <w:t>报名人名称（盖章）：</w:t>
      </w:r>
    </w:p>
    <w:p>
      <w:pPr>
        <w:pStyle w:val="13"/>
        <w:spacing w:line="360" w:lineRule="auto"/>
        <w:ind w:firstLine="643" w:firstLineChars="200"/>
        <w:rPr>
          <w:rFonts w:cs="宋体"/>
          <w:b/>
          <w:sz w:val="32"/>
          <w:szCs w:val="32"/>
          <w:u w:val="thick"/>
        </w:rPr>
      </w:pPr>
      <w:r>
        <w:rPr>
          <w:rFonts w:hint="eastAsia" w:cs="宋体"/>
          <w:b/>
          <w:sz w:val="32"/>
          <w:szCs w:val="32"/>
        </w:rPr>
        <w:t>报名人地址：</w:t>
      </w:r>
    </w:p>
    <w:p>
      <w:pPr>
        <w:pStyle w:val="13"/>
        <w:spacing w:line="360" w:lineRule="auto"/>
        <w:ind w:firstLine="643" w:firstLineChars="200"/>
        <w:rPr>
          <w:rFonts w:cs="宋体"/>
          <w:b/>
          <w:sz w:val="32"/>
          <w:szCs w:val="32"/>
        </w:rPr>
      </w:pPr>
      <w:r>
        <w:rPr>
          <w:rFonts w:hint="eastAsia" w:cs="宋体"/>
          <w:b/>
          <w:sz w:val="32"/>
          <w:szCs w:val="32"/>
        </w:rPr>
        <w:t>联 系 人：</w:t>
      </w:r>
    </w:p>
    <w:p>
      <w:pPr>
        <w:pStyle w:val="13"/>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9581"/>
          <w:bookmarkStart w:id="60" w:name="_Toc13947"/>
          <w:bookmarkStart w:id="61" w:name="_Toc23927923"/>
          <w:r>
            <w:rPr>
              <w:rFonts w:hint="eastAsia" w:ascii="宋体" w:hAnsi="宋体" w:eastAsia="宋体" w:cs="宋体"/>
              <w:sz w:val="36"/>
              <w:szCs w:val="36"/>
            </w:rPr>
            <w:t>报名文件目录</w:t>
          </w:r>
          <w:bookmarkEnd w:id="59"/>
          <w:bookmarkEnd w:id="60"/>
        </w:p>
        <w:p>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12"/>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bookmarkStart w:id="63" w:name="_Toc4689"/>
            <w:bookmarkStart w:id="64" w:name="_Toc16667"/>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8265"/>
            <w:bookmarkStart w:id="66" w:name="_Toc12812"/>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26826"/>
            <w:bookmarkStart w:id="68" w:name="_Toc30507"/>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8"/>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1" w:name="_Toc13033"/>
            <w:bookmarkStart w:id="72" w:name="_Toc19726"/>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3" w:name="_Toc7613"/>
            <w:bookmarkStart w:id="74" w:name="_Toc5040"/>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12"/>
        <w:spacing w:line="360" w:lineRule="auto"/>
        <w:jc w:val="center"/>
        <w:rPr>
          <w:rFonts w:ascii="宋体" w:hAnsi="宋体" w:cs="宋体"/>
          <w:b/>
          <w:bCs/>
          <w:sz w:val="30"/>
          <w:szCs w:val="30"/>
        </w:rPr>
      </w:pPr>
      <w:bookmarkStart w:id="81" w:name="_Toc385940900"/>
      <w:bookmarkStart w:id="82" w:name="_Toc50736473"/>
      <w:bookmarkStart w:id="83" w:name="_Toc50737331"/>
      <w:bookmarkStart w:id="84" w:name="_Toc50737325"/>
      <w:bookmarkStart w:id="85" w:name="_Toc52165077"/>
      <w:bookmarkStart w:id="86" w:name="_Toc76354927"/>
      <w:bookmarkStart w:id="87" w:name="_Toc52165083"/>
      <w:bookmarkStart w:id="88" w:name="_Toc50737293"/>
      <w:bookmarkStart w:id="89" w:name="_Toc50736479"/>
      <w:bookmarkStart w:id="90" w:name="_Toc50691040"/>
      <w:bookmarkStart w:id="91" w:name="_Toc76354921"/>
      <w:bookmarkStart w:id="92" w:name="_Toc50737299"/>
      <w:bookmarkStart w:id="93" w:name="_Toc50691028"/>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2"/>
        <w:numPr>
          <w:ilvl w:val="0"/>
          <w:numId w:val="15"/>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12"/>
        <w:spacing w:line="360" w:lineRule="auto"/>
        <w:ind w:firstLine="602" w:firstLineChars="200"/>
        <w:jc w:val="center"/>
        <w:rPr>
          <w:rFonts w:ascii="宋体" w:hAnsi="宋体" w:cs="宋体"/>
          <w:b/>
          <w:bCs/>
          <w:sz w:val="30"/>
          <w:szCs w:val="30"/>
        </w:rPr>
      </w:pPr>
      <w:bookmarkStart w:id="95" w:name="_Toc385940901"/>
    </w:p>
    <w:p>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50703722"/>
      <w:bookmarkStart w:id="97" w:name="_Toc43264516"/>
      <w:bookmarkStart w:id="98" w:name="_Toc50691029"/>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7"/>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7"/>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7"/>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7"/>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2"/>
        <w:numPr>
          <w:ilvl w:val="0"/>
          <w:numId w:val="15"/>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12"/>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6"/>
        <w:spacing w:line="360" w:lineRule="auto"/>
        <w:ind w:firstLineChars="200"/>
        <w:rPr>
          <w:rFonts w:ascii="宋体" w:hAnsi="宋体" w:eastAsia="宋体" w:cs="宋体"/>
          <w:bCs/>
          <w:sz w:val="21"/>
          <w:u w:val="single"/>
        </w:rPr>
      </w:pPr>
    </w:p>
    <w:p>
      <w:pPr>
        <w:pStyle w:val="6"/>
        <w:spacing w:line="360" w:lineRule="auto"/>
        <w:ind w:firstLineChars="200"/>
        <w:rPr>
          <w:rFonts w:ascii="宋体" w:hAnsi="宋体" w:eastAsia="宋体" w:cs="宋体"/>
          <w:bCs/>
          <w:sz w:val="21"/>
          <w:u w:val="single"/>
        </w:rPr>
      </w:pPr>
    </w:p>
    <w:bookmarkEnd w:id="96"/>
    <w:bookmarkEnd w:id="97"/>
    <w:bookmarkEnd w:id="98"/>
    <w:p>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6"/>
        <w:spacing w:line="360" w:lineRule="auto"/>
        <w:ind w:firstLineChars="200"/>
        <w:rPr>
          <w:rFonts w:eastAsia="宋体"/>
          <w:bCs/>
          <w:sz w:val="21"/>
        </w:rPr>
      </w:pPr>
      <w:r>
        <w:rPr>
          <w:rFonts w:eastAsia="宋体"/>
          <w:bCs/>
          <w:sz w:val="21"/>
        </w:rPr>
        <w:t>附：</w:t>
      </w:r>
    </w:p>
    <w:p>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6"/>
        <w:spacing w:line="360" w:lineRule="auto"/>
        <w:ind w:firstLine="422" w:firstLineChars="200"/>
        <w:rPr>
          <w:rFonts w:eastAsia="宋体"/>
          <w:b/>
          <w:sz w:val="21"/>
          <w:u w:val="single"/>
        </w:rPr>
      </w:pPr>
      <w:r>
        <w:rPr>
          <w:rFonts w:eastAsia="宋体"/>
          <w:b/>
          <w:sz w:val="21"/>
          <w:u w:val="single"/>
        </w:rPr>
        <w:t xml:space="preserve">                                                                                    </w:t>
      </w:r>
    </w:p>
    <w:p>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6"/>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6"/>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2"/>
        <w:spacing w:line="360" w:lineRule="auto"/>
        <w:ind w:left="420" w:leftChars="200" w:firstLine="480"/>
        <w:outlineLvl w:val="1"/>
        <w:rPr>
          <w:rFonts w:hint="eastAsia" w:ascii="宋体" w:hAnsi="宋体" w:cs="宋体"/>
          <w:b/>
          <w:bCs/>
        </w:rPr>
      </w:pPr>
      <w:bookmarkStart w:id="102" w:name="_Toc23523"/>
      <w:bookmarkStart w:id="103" w:name="_Toc20891"/>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12"/>
        <w:numPr>
          <w:ilvl w:val="0"/>
          <w:numId w:val="15"/>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52165081"/>
      <w:bookmarkStart w:id="106" w:name="_Toc76354925"/>
      <w:bookmarkStart w:id="107" w:name="_Toc50737329"/>
      <w:bookmarkStart w:id="108" w:name="_Toc50737297"/>
      <w:bookmarkStart w:id="109" w:name="_Toc50736477"/>
    </w:p>
    <w:p>
      <w:pPr>
        <w:pStyle w:val="12"/>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2"/>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12"/>
        <w:numPr>
          <w:ilvl w:val="0"/>
          <w:numId w:val="15"/>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12"/>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12"/>
        <w:numPr>
          <w:ilvl w:val="0"/>
          <w:numId w:val="15"/>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2"/>
        <w:spacing w:line="360" w:lineRule="auto"/>
        <w:jc w:val="center"/>
        <w:outlineLvl w:val="1"/>
        <w:rPr>
          <w:rFonts w:ascii="宋体" w:hAnsi="宋体" w:cs="宋体"/>
          <w:sz w:val="32"/>
          <w:szCs w:val="24"/>
        </w:rPr>
      </w:pPr>
      <w:bookmarkStart w:id="115" w:name="_Toc28136"/>
      <w:bookmarkStart w:id="116" w:name="_Toc20295"/>
      <w:r>
        <w:rPr>
          <w:rFonts w:hint="eastAsia" w:ascii="宋体" w:hAnsi="宋体" w:cs="宋体"/>
          <w:b/>
          <w:bCs/>
          <w:sz w:val="32"/>
          <w:szCs w:val="32"/>
        </w:rPr>
        <w:t>报价一览表</w:t>
      </w:r>
      <w:bookmarkEnd w:id="111"/>
      <w:bookmarkEnd w:id="115"/>
      <w:bookmarkEnd w:id="116"/>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12"/>
        <w:spacing w:line="360" w:lineRule="auto"/>
        <w:ind w:firstLine="482" w:firstLineChars="200"/>
        <w:jc w:val="center"/>
        <w:rPr>
          <w:rFonts w:ascii="宋体" w:hAnsi="宋体" w:cs="宋体"/>
          <w:b/>
          <w:szCs w:val="21"/>
        </w:rPr>
      </w:pPr>
      <w:bookmarkStart w:id="118" w:name="_Toc385940912"/>
    </w:p>
    <w:p>
      <w:pPr>
        <w:pStyle w:val="12"/>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736474"/>
      <w:bookmarkStart w:id="120" w:name="_Toc76354922"/>
      <w:bookmarkStart w:id="121" w:name="_Toc52165078"/>
      <w:bookmarkStart w:id="122" w:name="_Toc50691030"/>
      <w:bookmarkStart w:id="123" w:name="_Toc50737326"/>
      <w:bookmarkStart w:id="124" w:name="_Toc50737294"/>
    </w:p>
    <w:p>
      <w:pPr>
        <w:pStyle w:val="12"/>
        <w:numPr>
          <w:ilvl w:val="0"/>
          <w:numId w:val="15"/>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12"/>
        <w:spacing w:line="360" w:lineRule="auto"/>
        <w:ind w:firstLine="482" w:firstLineChars="200"/>
        <w:jc w:val="center"/>
        <w:rPr>
          <w:rFonts w:ascii="宋体" w:hAnsi="宋体" w:cs="宋体"/>
          <w:b/>
          <w:szCs w:val="21"/>
        </w:rPr>
      </w:pPr>
    </w:p>
    <w:p>
      <w:pPr>
        <w:pStyle w:val="12"/>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12"/>
        <w:spacing w:line="360" w:lineRule="auto"/>
        <w:ind w:firstLine="602" w:firstLineChars="200"/>
        <w:jc w:val="center"/>
        <w:rPr>
          <w:rFonts w:ascii="宋体" w:hAnsi="宋体" w:cs="宋体"/>
          <w:b/>
          <w:bCs/>
          <w:sz w:val="30"/>
          <w:szCs w:val="30"/>
        </w:rPr>
      </w:pPr>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12"/>
        <w:spacing w:line="360" w:lineRule="auto"/>
        <w:ind w:firstLine="602" w:firstLineChars="200"/>
        <w:jc w:val="center"/>
        <w:rPr>
          <w:rFonts w:ascii="宋体" w:hAnsi="宋体" w:cs="宋体"/>
          <w:b/>
          <w:bCs/>
          <w:sz w:val="30"/>
          <w:szCs w:val="30"/>
        </w:rPr>
      </w:pPr>
      <w:bookmarkStart w:id="128" w:name="_Toc385940910"/>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32"/>
        <w:rPr>
          <w:rFonts w:ascii="宋体" w:hAnsi="宋体" w:cs="宋体"/>
        </w:rPr>
      </w:pPr>
    </w:p>
    <w:p>
      <w:pPr>
        <w:widowControl/>
        <w:ind w:firstLine="482" w:firstLineChars="200"/>
        <w:jc w:val="left"/>
        <w:rPr>
          <w:rFonts w:ascii="宋体" w:hAnsi="宋体" w:cs="宋体"/>
          <w:b/>
          <w:bCs/>
          <w:sz w:val="24"/>
        </w:rPr>
      </w:pP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2"/>
        <w:numPr>
          <w:ilvl w:val="0"/>
          <w:numId w:val="15"/>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2"/>
        <w:spacing w:line="360" w:lineRule="auto"/>
        <w:ind w:firstLine="482" w:firstLineChars="200"/>
        <w:jc w:val="center"/>
        <w:rPr>
          <w:rFonts w:ascii="宋体" w:hAnsi="宋体" w:cs="宋体"/>
          <w:b/>
          <w:bCs/>
          <w:i/>
        </w:rPr>
      </w:pPr>
    </w:p>
    <w:p>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2"/>
        <w:spacing w:line="360" w:lineRule="auto"/>
        <w:ind w:firstLine="482" w:firstLineChars="200"/>
        <w:rPr>
          <w:rFonts w:ascii="宋体" w:hAnsi="宋体" w:cs="宋体"/>
          <w:b/>
          <w:bCs/>
        </w:rPr>
      </w:pPr>
      <w:bookmarkStart w:id="130" w:name="_Toc385940909"/>
    </w:p>
    <w:p>
      <w:pPr>
        <w:pStyle w:val="32"/>
        <w:rPr>
          <w:rFonts w:ascii="宋体" w:hAnsi="宋体" w:cs="宋体"/>
          <w:szCs w:val="21"/>
        </w:rPr>
      </w:pPr>
      <w:r>
        <w:rPr>
          <w:rFonts w:hint="eastAsia" w:ascii="宋体" w:hAnsi="宋体" w:cs="宋体"/>
          <w:b/>
          <w:bCs/>
        </w:rPr>
        <w:br w:type="page"/>
      </w:r>
      <w:bookmarkEnd w:id="130"/>
    </w:p>
    <w:p>
      <w:pPr>
        <w:pStyle w:val="12"/>
        <w:numPr>
          <w:ilvl w:val="0"/>
          <w:numId w:val="15"/>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12"/>
        <w:spacing w:line="360" w:lineRule="auto"/>
        <w:ind w:firstLine="602" w:firstLineChars="200"/>
        <w:rPr>
          <w:rFonts w:ascii="宋体" w:hAnsi="宋体" w:cs="宋体"/>
          <w:b/>
          <w:bCs/>
          <w:sz w:val="30"/>
          <w:szCs w:val="30"/>
        </w:rPr>
      </w:pPr>
    </w:p>
    <w:p>
      <w:pPr>
        <w:pStyle w:val="12"/>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12"/>
        <w:spacing w:line="360" w:lineRule="auto"/>
        <w:jc w:val="center"/>
        <w:rPr>
          <w:rFonts w:ascii="宋体" w:hAnsi="宋体" w:cs="宋体"/>
          <w:sz w:val="21"/>
        </w:rPr>
      </w:pPr>
      <w:r>
        <w:rPr>
          <w:rFonts w:hint="eastAsia" w:ascii="宋体" w:hAnsi="宋体" w:cs="宋体"/>
          <w:sz w:val="21"/>
        </w:rPr>
        <w:t>（格式可自定）</w:t>
      </w:r>
    </w:p>
    <w:p>
      <w:pPr>
        <w:pStyle w:val="12"/>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12"/>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12"/>
        <w:numPr>
          <w:ilvl w:val="0"/>
          <w:numId w:val="22"/>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12"/>
        <w:numPr>
          <w:ilvl w:val="0"/>
          <w:numId w:val="22"/>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12"/>
        <w:numPr>
          <w:ilvl w:val="0"/>
          <w:numId w:val="22"/>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12"/>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12"/>
        <w:numPr>
          <w:ilvl w:val="0"/>
          <w:numId w:val="23"/>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12"/>
        <w:numPr>
          <w:ilvl w:val="0"/>
          <w:numId w:val="23"/>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12"/>
        <w:numPr>
          <w:ilvl w:val="0"/>
          <w:numId w:val="23"/>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12"/>
        <w:numPr>
          <w:ilvl w:val="0"/>
          <w:numId w:val="15"/>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12"/>
        <w:numPr>
          <w:ilvl w:val="0"/>
          <w:numId w:val="0"/>
        </w:numPr>
        <w:spacing w:line="360" w:lineRule="auto"/>
        <w:jc w:val="center"/>
        <w:outlineLvl w:val="1"/>
        <w:rPr>
          <w:rFonts w:ascii="宋体" w:hAnsi="宋体" w:eastAsia="宋体" w:cs="宋体"/>
          <w:b/>
          <w:bCs/>
          <w:sz w:val="28"/>
          <w:szCs w:val="28"/>
        </w:rPr>
      </w:pPr>
      <w:bookmarkStart w:id="146" w:name="_Toc27269"/>
      <w:bookmarkStart w:id="147" w:name="_Toc15125"/>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12"/>
        <w:spacing w:line="360" w:lineRule="auto"/>
        <w:jc w:val="center"/>
        <w:outlineLvl w:val="1"/>
        <w:rPr>
          <w:rFonts w:hint="eastAsia" w:ascii="宋体" w:hAnsi="宋体" w:cs="宋体"/>
          <w:sz w:val="21"/>
          <w:szCs w:val="21"/>
        </w:rPr>
      </w:pPr>
      <w:bookmarkStart w:id="148" w:name="_Toc32022"/>
      <w:bookmarkStart w:id="149" w:name="_Toc4559"/>
      <w:bookmarkStart w:id="150" w:name="_Toc4321"/>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2"/>
        <w:numPr>
          <w:ilvl w:val="0"/>
          <w:numId w:val="24"/>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0"/>
          <w:numId w:val="25"/>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12"/>
        <w:numPr>
          <w:ilvl w:val="0"/>
          <w:numId w:val="15"/>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2"/>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12"/>
        <w:numPr>
          <w:ilvl w:val="0"/>
          <w:numId w:val="23"/>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12"/>
        <w:numPr>
          <w:ilvl w:val="0"/>
          <w:numId w:val="23"/>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12"/>
        <w:numPr>
          <w:ilvl w:val="0"/>
          <w:numId w:val="23"/>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12"/>
        <w:numPr>
          <w:ilvl w:val="0"/>
          <w:numId w:val="23"/>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E3C8C97C"/>
    <w:multiLevelType w:val="singleLevel"/>
    <w:tmpl w:val="E3C8C97C"/>
    <w:lvl w:ilvl="0" w:tentative="0">
      <w:start w:val="2"/>
      <w:numFmt w:val="decimal"/>
      <w:suff w:val="nothing"/>
      <w:lvlText w:val="%1、"/>
      <w:lvlJc w:val="left"/>
      <w:pPr>
        <w:ind w:left="0" w:firstLine="0"/>
      </w:pPr>
    </w:lvl>
  </w:abstractNum>
  <w:abstractNum w:abstractNumId="8">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F804E477"/>
    <w:multiLevelType w:val="singleLevel"/>
    <w:tmpl w:val="F804E477"/>
    <w:lvl w:ilvl="0" w:tentative="0">
      <w:start w:val="1"/>
      <w:numFmt w:val="chineseCounting"/>
      <w:suff w:val="nothing"/>
      <w:lvlText w:val="%1、"/>
      <w:lvlJc w:val="left"/>
      <w:rPr>
        <w:rFonts w:hint="eastAsia"/>
      </w:rPr>
    </w:lvl>
  </w:abstractNum>
  <w:abstractNum w:abstractNumId="10">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4">
    <w:nsid w:val="2FCEBE1A"/>
    <w:multiLevelType w:val="singleLevel"/>
    <w:tmpl w:val="2FCEBE1A"/>
    <w:lvl w:ilvl="0" w:tentative="0">
      <w:start w:val="3"/>
      <w:numFmt w:val="chineseCounting"/>
      <w:suff w:val="nothing"/>
      <w:lvlText w:val="%1、"/>
      <w:lvlJc w:val="left"/>
      <w:rPr>
        <w:rFonts w:hint="eastAsia"/>
      </w:rPr>
    </w:lvl>
  </w:abstractNum>
  <w:abstractNum w:abstractNumId="15">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19">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9"/>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2"/>
  </w:num>
  <w:num w:numId="9">
    <w:abstractNumId w:val="2"/>
  </w:num>
  <w:num w:numId="10">
    <w:abstractNumId w:val="12"/>
  </w:num>
  <w:num w:numId="11">
    <w:abstractNumId w:val="8"/>
  </w:num>
  <w:num w:numId="12">
    <w:abstractNumId w:val="23"/>
  </w:num>
  <w:num w:numId="13">
    <w:abstractNumId w:val="5"/>
  </w:num>
  <w:num w:numId="14">
    <w:abstractNumId w:val="6"/>
  </w:num>
  <w:num w:numId="15">
    <w:abstractNumId w:val="13"/>
  </w:num>
  <w:num w:numId="16">
    <w:abstractNumId w:val="15"/>
  </w:num>
  <w:num w:numId="17">
    <w:abstractNumId w:val="0"/>
  </w:num>
  <w:num w:numId="18">
    <w:abstractNumId w:val="11"/>
  </w:num>
  <w:num w:numId="19">
    <w:abstractNumId w:val="16"/>
  </w:num>
  <w:num w:numId="20">
    <w:abstractNumId w:val="7"/>
  </w:num>
  <w:num w:numId="21">
    <w:abstractNumId w:val="10"/>
  </w:num>
  <w:num w:numId="22">
    <w:abstractNumId w:val="9"/>
  </w:num>
  <w:num w:numId="23">
    <w:abstractNumId w:val="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FC5617"/>
    <w:rsid w:val="0C0B7609"/>
    <w:rsid w:val="0C2C5C40"/>
    <w:rsid w:val="0C8774AF"/>
    <w:rsid w:val="0C9B4314"/>
    <w:rsid w:val="0CBA5820"/>
    <w:rsid w:val="0CC96384"/>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624246E"/>
    <w:rsid w:val="16684B95"/>
    <w:rsid w:val="17653E0D"/>
    <w:rsid w:val="17AD2E14"/>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1FAF7BE0"/>
    <w:rsid w:val="203219EA"/>
    <w:rsid w:val="2063580D"/>
    <w:rsid w:val="20980E90"/>
    <w:rsid w:val="20A06C94"/>
    <w:rsid w:val="20DE3A7A"/>
    <w:rsid w:val="212F6D2E"/>
    <w:rsid w:val="21EB5F66"/>
    <w:rsid w:val="21FA0509"/>
    <w:rsid w:val="2399733B"/>
    <w:rsid w:val="23E07C7D"/>
    <w:rsid w:val="252A5172"/>
    <w:rsid w:val="255015A2"/>
    <w:rsid w:val="2584425C"/>
    <w:rsid w:val="260350B4"/>
    <w:rsid w:val="275E7883"/>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BEB5F4D"/>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534DB9"/>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E0C4D72"/>
    <w:rsid w:val="5F0E45BB"/>
    <w:rsid w:val="5F5B7526"/>
    <w:rsid w:val="62695150"/>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AF5F22"/>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85C2AA6"/>
    <w:rsid w:val="788B3478"/>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TotalTime>3</TotalTime>
  <ScaleCrop>false</ScaleCrop>
  <LinksUpToDate>false</LinksUpToDate>
  <CharactersWithSpaces>16037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2025-05-22T07:03:28Z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