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二氧化碳培养箱采购项目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2025年5</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8959"/>
      <w:bookmarkStart w:id="1" w:name="_Toc97049019"/>
      <w:bookmarkStart w:id="2" w:name="_Toc97049453"/>
      <w:bookmarkStart w:id="3" w:name="_Toc14383"/>
      <w:bookmarkStart w:id="4" w:name="_Toc97042583"/>
      <w:bookmarkStart w:id="5" w:name="_Toc97049014"/>
      <w:bookmarkStart w:id="6" w:name="_Toc22955"/>
      <w:bookmarkStart w:id="7" w:name="_Toc5414"/>
      <w:bookmarkStart w:id="8" w:name="_Toc97048637"/>
      <w:bookmarkStart w:id="9" w:name="_Toc23897"/>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是指二氧化碳培养箱采购项目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0.5</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8</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22</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22</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5</w:t>
            </w:r>
            <w:bookmarkStart w:id="158" w:name="_GoBack"/>
            <w:bookmarkEnd w:id="158"/>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2588"/>
      <w:bookmarkStart w:id="28" w:name="_Toc19293"/>
      <w:bookmarkStart w:id="29" w:name="_Toc4600"/>
      <w:bookmarkStart w:id="30" w:name="_Toc97049458"/>
      <w:bookmarkStart w:id="31" w:name="_Toc97048642"/>
      <w:bookmarkStart w:id="32" w:name="_Toc97048964"/>
      <w:bookmarkStart w:id="33" w:name="_Toc97049015"/>
      <w:bookmarkStart w:id="34" w:name="_Toc97049024"/>
      <w:bookmarkStart w:id="35" w:name="_Toc19972"/>
      <w:bookmarkStart w:id="36" w:name="_Toc1785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二氧化碳培养箱</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eastAsia="宋体" w:cs="宋体"/>
          <w:sz w:val="24"/>
          <w:szCs w:val="24"/>
          <w:lang w:eastAsia="zh-CN"/>
        </w:rPr>
      </w:pPr>
      <w:bookmarkStart w:id="43" w:name="_Toc22606"/>
      <w:bookmarkStart w:id="44" w:name="_Toc24364"/>
      <w:bookmarkStart w:id="45" w:name="_Toc49938637"/>
      <w:r>
        <w:rPr>
          <w:rFonts w:hint="eastAsia" w:ascii="宋体" w:hAnsi="宋体" w:eastAsia="宋体" w:cs="宋体"/>
          <w:sz w:val="24"/>
          <w:szCs w:val="24"/>
          <w:lang w:eastAsia="zh-CN"/>
        </w:rPr>
        <w:t>1、容积：170L</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2、彩色触摸显示屏，方便观察及操作，屏幕尺寸：7寸</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3、温度控制范围，室温+3℃~55℃</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4、温度均匀性±0.3℃，温度波动度±0.1℃，27点测试，提供第三方报告</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5、开门30S，关门后4分钟温度恢复至标准要求以内，提供第三方报告</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6、CO2浓度控制范围，0~20%，控制精度±0.1%</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7、开门30S，关门后4分钟CO2浓度恢复至标准要求以内，提供第三方报告</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8、 进口品牌高精度红外传感器（IR）,耐190℃高温，可进行300次干热灭菌循环</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9、 灭菌功能：180℃干热灭菌，箱内所有部件无需拆卸，一键灭菌操作方便</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10、 不锈钢304内胆，一体式冲压成型，无支架、无螺钉、圆弧无死角结构，电抛光内胆，方便清洁</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11、 底部水库式加湿方式，带有水位监测传感器，实时监控水量，带有缺水报警</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12、排水方便，箱体前部带有排水孔</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13、具有多种故障报警，超温报警，温高温低报警、CO2浓度超标报警、缺水报警、门开报警</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14、具备超温保护功能</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15、 具有三种以上报警方式，声音蜂鸣报警、屏幕闪烁报警、APP推送报警</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16、配置大容量数据存储空间，实时存储培养箱箱内设定温度、实际温度、高、低报警温度、CO2设定浓度、实际浓度、高、低报警浓度、事件记录、报警记录、数据可永久保存，且可通过USB数据接口端口导出全部数据，实现数据的可追溯性</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17、选配RS485、4-20mA数据接口，可实现多台组网，并能够与计算机连接，实现数据通讯</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18、 产品配置2根PT1000高精度传感器，独立监控，相互控制</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19、 具有留言/记事本/公告功能，方便多用户共用一台培养箱时，相互之间留言，以及自己创建记事本，备忘，可实现无纸办公</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20、 具有数据上传/下载功能，可以通过USB接口和网络上传和下载箱内设置、温度、CO2浓度、报警记录以及事件记录等</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21、 具有参数自动配置功能，可通过USB接口或网络上传和下载配置文件，将一台培养箱的设置参数和数据等信息复制到其它培养箱</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22、 具有事件记录功能，产品能够记录开门事件、密码修改、设置修改、账户登录等信息，且所有记录信息能够下载到电脑上，实现数据分析存档</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23、产品可叠放、可选左或右开门 </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24、配置3.5 cm 测试孔</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25、配置远程报警接口，报警内容包括：断电，温度波动，CO2，等内容，用户可自定义报警限度</w:t>
      </w:r>
    </w:p>
    <w:p>
      <w:pPr>
        <w:rPr>
          <w:rFonts w:hint="eastAsia" w:ascii="宋体" w:hAnsi="宋体" w:eastAsia="宋体" w:cs="宋体"/>
          <w:sz w:val="24"/>
          <w:szCs w:val="24"/>
          <w:lang w:eastAsia="zh-CN"/>
        </w:rPr>
      </w:pPr>
      <w:r>
        <w:rPr>
          <w:rFonts w:hint="default" w:ascii="Times New Roman" w:hAnsi="Times New Roman" w:cs="Times New Roman"/>
          <w:bCs/>
          <w:sz w:val="24"/>
        </w:rPr>
        <w:t>▲</w:t>
      </w:r>
      <w:r>
        <w:rPr>
          <w:rFonts w:hint="eastAsia" w:ascii="宋体" w:hAnsi="宋体" w:eastAsia="宋体" w:cs="宋体"/>
          <w:sz w:val="24"/>
          <w:szCs w:val="24"/>
          <w:lang w:eastAsia="zh-CN"/>
        </w:rPr>
        <w:t xml:space="preserve">26、 标配物联模块，可通过手机、电脑、移动终端查询产品运行状况，报警等 </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27、具有医疗器械注册证、具有CE认证、具有FDA PART11认证、具有TUV认证</w:t>
      </w:r>
    </w:p>
    <w:p>
      <w:pPr>
        <w:rPr>
          <w:rFonts w:hint="eastAsia" w:ascii="宋体" w:hAnsi="宋体" w:eastAsia="宋体" w:cs="宋体"/>
          <w:sz w:val="24"/>
          <w:szCs w:val="24"/>
          <w:lang w:eastAsia="zh-CN"/>
        </w:rPr>
      </w:pPr>
      <w:r>
        <w:rPr>
          <w:rFonts w:hint="eastAsia" w:ascii="宋体" w:hAnsi="宋体" w:eastAsia="宋体" w:cs="宋体"/>
          <w:b/>
          <w:bCs/>
          <w:sz w:val="24"/>
          <w:szCs w:val="24"/>
          <w:lang w:eastAsia="zh-CN"/>
        </w:rPr>
        <w:t>配置清单：</w:t>
      </w:r>
      <w:r>
        <w:rPr>
          <w:rFonts w:hint="eastAsia" w:ascii="宋体" w:hAnsi="宋体" w:eastAsia="宋体" w:cs="宋体"/>
          <w:sz w:val="24"/>
          <w:szCs w:val="24"/>
          <w:lang w:eastAsia="zh-CN"/>
        </w:rPr>
        <w:t>主机一台，说明书1个，触摸屏1个 ，物联模块1个</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8645"/>
      <w:bookmarkStart w:id="49" w:name="_Toc97049461"/>
      <w:bookmarkStart w:id="50" w:name="_Toc97042591"/>
      <w:bookmarkStart w:id="51" w:name="_Toc97049027"/>
      <w:bookmarkStart w:id="52" w:name="_Toc97048967"/>
      <w:bookmarkStart w:id="53" w:name="_Toc9145"/>
      <w:bookmarkStart w:id="54" w:name="_Toc10033"/>
      <w:bookmarkStart w:id="55" w:name="_Toc97049016"/>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2697"/>
            <w:bookmarkStart w:id="70" w:name="_Toc15"/>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6473"/>
      <w:bookmarkStart w:id="83" w:name="_Toc76354927"/>
      <w:bookmarkStart w:id="84" w:name="_Toc50737325"/>
      <w:bookmarkStart w:id="85" w:name="_Toc50691040"/>
      <w:bookmarkStart w:id="86" w:name="_Toc52165083"/>
      <w:bookmarkStart w:id="87" w:name="_Toc50737293"/>
      <w:bookmarkStart w:id="88" w:name="_Toc50737331"/>
      <w:bookmarkStart w:id="89" w:name="_Toc50736479"/>
      <w:bookmarkStart w:id="90" w:name="_Toc50737299"/>
      <w:bookmarkStart w:id="91" w:name="_Toc76354921"/>
      <w:bookmarkStart w:id="92" w:name="_Toc50691028"/>
      <w:bookmarkStart w:id="93" w:name="_Toc52165077"/>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297"/>
      <w:bookmarkStart w:id="106" w:name="_Toc52165081"/>
      <w:bookmarkStart w:id="107" w:name="_Toc76354925"/>
      <w:bookmarkStart w:id="108" w:name="_Toc50736477"/>
      <w:bookmarkStart w:id="109" w:name="_Toc50737329"/>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691030"/>
      <w:bookmarkStart w:id="120" w:name="_Toc50737326"/>
      <w:bookmarkStart w:id="121" w:name="_Toc50736474"/>
      <w:bookmarkStart w:id="122" w:name="_Toc76354922"/>
      <w:bookmarkStart w:id="123" w:name="_Toc52165078"/>
      <w:bookmarkStart w:id="124" w:name="_Toc50737294"/>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321"/>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CC96384"/>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7DE540E"/>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39C4CCE"/>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BEB5F4D"/>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B6406D"/>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125AE0"/>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2</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2025-05-22T07:15:53Z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