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台式冷冻离心机（2ml）采购项目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97049453"/>
      <w:bookmarkStart w:id="2" w:name="_Toc14383"/>
      <w:bookmarkStart w:id="3" w:name="_Toc97049019"/>
      <w:bookmarkStart w:id="4" w:name="_Toc97049014"/>
      <w:bookmarkStart w:id="5" w:name="_Toc23897"/>
      <w:bookmarkStart w:id="6" w:name="_Toc97048959"/>
      <w:bookmarkStart w:id="7" w:name="_Toc97042583"/>
      <w:bookmarkStart w:id="8" w:name="_Toc97048637"/>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是指台式冷冻离心机采购项目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12</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16</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bookmarkStart w:id="158" w:name="_GoBack"/>
            <w:bookmarkEnd w:id="158"/>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7854"/>
      <w:bookmarkStart w:id="28" w:name="_Toc97042588"/>
      <w:bookmarkStart w:id="29" w:name="_Toc97049024"/>
      <w:bookmarkStart w:id="30" w:name="_Toc19293"/>
      <w:bookmarkStart w:id="31" w:name="_Toc4600"/>
      <w:bookmarkStart w:id="32" w:name="_Toc97049458"/>
      <w:bookmarkStart w:id="33" w:name="_Toc97048642"/>
      <w:bookmarkStart w:id="34" w:name="_Toc97048964"/>
      <w:bookmarkStart w:id="35" w:name="_Toc97049015"/>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台式冷冻离心机（2ml）</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4"/>
          <w:szCs w:val="24"/>
          <w:lang w:eastAsia="zh-CN"/>
        </w:rPr>
      </w:pPr>
      <w:bookmarkStart w:id="43" w:name="_Toc24364"/>
      <w:bookmarkStart w:id="44" w:name="_Toc22606"/>
      <w:bookmarkStart w:id="45" w:name="_Toc49938637"/>
      <w:r>
        <w:rPr>
          <w:rFonts w:hint="eastAsia" w:ascii="宋体" w:hAnsi="宋体" w:eastAsia="宋体" w:cs="宋体"/>
          <w:sz w:val="24"/>
          <w:szCs w:val="24"/>
          <w:lang w:eastAsia="zh-CN"/>
        </w:rPr>
        <w:t>台式冷冻离心机（1.5/2ml)：</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▲1、最大相对离心力（rcf）： 21,300xg（15,060 rpm）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2、转速/离心力：100-5,000 rpm，10 rpm 递增，5,000 -15,060 rpm，100 rpm 递增，1-21,300 x g；50-2990 x g, 10 x rcf 递增；1-21,300 x g，100 rcf递增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3、离心时间：1-2min, 10s 递增；2-10 min，30 s 递增；&gt;10 min，1 min 递增；连续离心</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4、离心计时：10 秒- 9 小时59 分钟，可连续离心</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5、最大转子容量 24x1.5/2.0 mL 离心管，10x5 mL 离心管，96x0.2 mL PCR管</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6、从零加速至最高转速的时间：15 秒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7、从最高转速降速至零的时间：15 秒</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8、噪音水平：&lt;54 dB(A)</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▲9、创新 OptiBowl® 离心机盖设计确保静音操作，即使不盖转子盖离心也非常安静，确保实验环境安静</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10、SOFT 软刹车功能，防止重悬，保护敏感样品免受损伤</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11、铝合金材质转子</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12、单独的 Short瞬时离心按键，且无需一直按Short键，便于快速离心；rpm（转速）/ rcf（相对离心力）转换按键，便于操作</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▲13、独有At set rpm 定速计时功能，可在达到预定转速后再倒计时确保离心效果</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▲14、FastTemp 快速预冷功能，从室温（21 °C）降至 4 °C 仅需8 分钟</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15、离心结束计时功能，便于观察，便于判断是否需要再次离心。</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▲16、具有气密性转子盖，转子气密性经由英国Proton Down的应用微生物研究中心（CAMR）测试并认证，可高温高压灭菌</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▲17、温控范围：-10 °C 至 40 °C；即使在最高转速也可保持 4 °C</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▲18、高效压缩机控制，提供 ECO 自动待机功能，优化制冷性能，延长压缩机使用寿命</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▲19、冷凝水槽防止离心机腔体内冷凝水积聚，防止腐蚀</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20、不使用离心功能且离心机盖关闭时，可以进行持续制冷, 确保温度恒定</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配置清单：</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小型高速冷冻离心机主机1台</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24x1.5/2.0ml气密性铝合金角转子1个</w:t>
      </w:r>
    </w:p>
    <w:p>
      <w:pPr>
        <w:rPr>
          <w:rFonts w:hint="eastAsia"/>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电源线1条</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461"/>
      <w:bookmarkStart w:id="49" w:name="_Toc97048645"/>
      <w:bookmarkStart w:id="50" w:name="_Toc97049016"/>
      <w:bookmarkStart w:id="51" w:name="_Toc97049027"/>
      <w:bookmarkStart w:id="52" w:name="_Toc9145"/>
      <w:bookmarkStart w:id="53" w:name="_Toc97042591"/>
      <w:bookmarkStart w:id="54" w:name="_Toc97048967"/>
      <w:bookmarkStart w:id="55" w:name="_Toc10033"/>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9"/>
      <w:bookmarkStart w:id="83" w:name="_Toc50691028"/>
      <w:bookmarkStart w:id="84" w:name="_Toc50736473"/>
      <w:bookmarkStart w:id="85" w:name="_Toc76354927"/>
      <w:bookmarkStart w:id="86" w:name="_Toc50737293"/>
      <w:bookmarkStart w:id="87" w:name="_Toc52165077"/>
      <w:bookmarkStart w:id="88" w:name="_Toc50737325"/>
      <w:bookmarkStart w:id="89" w:name="_Toc50737299"/>
      <w:bookmarkStart w:id="90" w:name="_Toc52165083"/>
      <w:bookmarkStart w:id="91" w:name="_Toc50691040"/>
      <w:bookmarkStart w:id="92" w:name="_Toc50737331"/>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43264516"/>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76354925"/>
      <w:bookmarkStart w:id="107" w:name="_Toc50736477"/>
      <w:bookmarkStart w:id="108" w:name="_Toc50737329"/>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76354922"/>
      <w:bookmarkStart w:id="122" w:name="_Toc50736474"/>
      <w:bookmarkStart w:id="123" w:name="_Toc52165078"/>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32022"/>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39C4CCE"/>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B6406D"/>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125AE0"/>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19</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2025-05-22T06:59:42Z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