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颅内压监护仪采购项目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14383"/>
      <w:bookmarkStart w:id="2" w:name="_Toc22955"/>
      <w:bookmarkStart w:id="3" w:name="_Toc97048959"/>
      <w:bookmarkStart w:id="4" w:name="_Toc97049453"/>
      <w:bookmarkStart w:id="5" w:name="_Toc97049014"/>
      <w:bookmarkStart w:id="6" w:name="_Toc23897"/>
      <w:bookmarkStart w:id="7" w:name="_Toc97048637"/>
      <w:bookmarkStart w:id="8" w:name="_Toc97042583"/>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是指颅内压监护仪采购项目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5</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5</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bookmarkStart w:id="158" w:name="_GoBack"/>
            <w:bookmarkEnd w:id="158"/>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15"/>
      <w:bookmarkStart w:id="28" w:name="_Toc97042588"/>
      <w:bookmarkStart w:id="29" w:name="_Toc97048642"/>
      <w:bookmarkStart w:id="30" w:name="_Toc19972"/>
      <w:bookmarkStart w:id="31" w:name="_Toc97049458"/>
      <w:bookmarkStart w:id="32" w:name="_Toc97048964"/>
      <w:bookmarkStart w:id="33" w:name="_Toc17854"/>
      <w:bookmarkStart w:id="34" w:name="_Toc4600"/>
      <w:bookmarkStart w:id="35" w:name="_Toc19293"/>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颅内压监护仪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28"/>
          <w:szCs w:val="28"/>
          <w:lang w:eastAsia="zh-CN"/>
        </w:rPr>
      </w:pPr>
      <w:bookmarkStart w:id="43" w:name="_Toc22606"/>
      <w:bookmarkStart w:id="44" w:name="_Toc24364"/>
      <w:bookmarkStart w:id="45" w:name="_Toc49938637"/>
      <w:r>
        <w:rPr>
          <w:rFonts w:hint="eastAsia" w:ascii="宋体" w:hAnsi="宋体" w:eastAsia="宋体" w:cs="宋体"/>
          <w:sz w:val="28"/>
          <w:szCs w:val="28"/>
          <w:lang w:eastAsia="zh-CN"/>
        </w:rPr>
        <w:t>主要参数</w:t>
      </w:r>
    </w:p>
    <w:p>
      <w:pPr>
        <w:numPr>
          <w:ilvl w:val="0"/>
          <w:numId w:val="8"/>
        </w:numPr>
        <w:rPr>
          <w:rFonts w:hint="eastAsia" w:ascii="宋体" w:hAnsi="宋体" w:eastAsia="宋体" w:cs="宋体"/>
          <w:sz w:val="28"/>
          <w:szCs w:val="28"/>
          <w:lang w:val="en-US" w:eastAsia="zh-CN"/>
        </w:rPr>
      </w:pPr>
      <w:r>
        <w:rPr>
          <w:rFonts w:hint="default" w:ascii="Times New Roman" w:hAnsi="Times New Roman" w:cs="Times New Roman"/>
          <w:bCs/>
          <w:sz w:val="24"/>
        </w:rPr>
        <w:t>▲</w:t>
      </w:r>
      <w:r>
        <w:rPr>
          <w:rFonts w:hint="eastAsia" w:ascii="宋体" w:hAnsi="宋体" w:eastAsia="宋体" w:cs="宋体"/>
          <w:sz w:val="28"/>
          <w:szCs w:val="28"/>
          <w:lang w:val="en-US" w:eastAsia="zh-CN"/>
        </w:rPr>
        <w:t>适用于</w:t>
      </w:r>
      <w:r>
        <w:rPr>
          <w:rFonts w:hint="eastAsia" w:ascii="宋体" w:hAnsi="宋体" w:eastAsia="宋体" w:cs="宋体"/>
          <w:sz w:val="28"/>
          <w:szCs w:val="28"/>
        </w:rPr>
        <w:t>脑损伤、神经外科手术、缺血性或出血性脑病患者</w:t>
      </w:r>
    </w:p>
    <w:p>
      <w:pPr>
        <w:numPr>
          <w:ilvl w:val="0"/>
          <w:numId w:val="8"/>
        </w:numPr>
        <w:rPr>
          <w:rFonts w:hint="eastAsia" w:ascii="宋体" w:hAnsi="宋体" w:eastAsia="宋体" w:cs="宋体"/>
          <w:sz w:val="28"/>
          <w:szCs w:val="28"/>
          <w:lang w:val="en-US" w:eastAsia="zh-CN"/>
        </w:rPr>
      </w:pPr>
      <w:r>
        <w:rPr>
          <w:rFonts w:hint="default" w:ascii="Times New Roman" w:hAnsi="Times New Roman" w:cs="Times New Roman"/>
          <w:bCs/>
          <w:sz w:val="24"/>
        </w:rPr>
        <w:t>▲</w:t>
      </w:r>
      <w:r>
        <w:rPr>
          <w:rFonts w:hint="eastAsia" w:ascii="宋体" w:hAnsi="宋体" w:eastAsia="宋体" w:cs="宋体"/>
          <w:sz w:val="28"/>
          <w:szCs w:val="28"/>
          <w:lang w:val="en-US" w:eastAsia="zh-CN"/>
        </w:rPr>
        <w:t>屏幕：中文界面，显示7寸液晶（可视面积154mm×86mm,可视角度120°），屏幕亮度≥6档可调。</w:t>
      </w:r>
    </w:p>
    <w:p>
      <w:pPr>
        <w:numPr>
          <w:ilvl w:val="0"/>
          <w:numId w:val="8"/>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操作控制：屏触控制，以及按键控制。</w:t>
      </w:r>
    </w:p>
    <w:p>
      <w:pPr>
        <w:numPr>
          <w:ilvl w:val="0"/>
          <w:numId w:val="8"/>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校零：一键校零。</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Times New Roman" w:hAnsi="Times New Roman" w:cs="Times New Roman"/>
          <w:bCs/>
          <w:sz w:val="24"/>
        </w:rPr>
        <w:t>▲</w:t>
      </w:r>
      <w:r>
        <w:rPr>
          <w:rFonts w:hint="eastAsia" w:ascii="宋体" w:hAnsi="宋体" w:eastAsia="宋体" w:cs="宋体"/>
          <w:sz w:val="28"/>
          <w:szCs w:val="28"/>
          <w:lang w:val="en-US" w:eastAsia="zh-CN"/>
        </w:rPr>
        <w:t>压力显示分辨1mmHg或0.1Pa。</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Times New Roman" w:hAnsi="Times New Roman" w:cs="Times New Roman"/>
          <w:bCs/>
          <w:sz w:val="24"/>
        </w:rPr>
        <w:t>▲</w:t>
      </w:r>
      <w:r>
        <w:rPr>
          <w:rFonts w:hint="eastAsia" w:ascii="宋体" w:hAnsi="宋体" w:eastAsia="宋体" w:cs="宋体"/>
          <w:sz w:val="28"/>
          <w:szCs w:val="28"/>
          <w:lang w:val="en-US" w:eastAsia="zh-CN"/>
        </w:rPr>
        <w:t>压力显示分辨率，显示范围-50mmHg～150mmHg或-6.65kPa～19.95kPa。</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6、趋势波形显示平均压力值变化，量程自动调整。</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7、可回顾≥14天压力历史趋势。</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Times New Roman" w:hAnsi="Times New Roman" w:cs="Times New Roman"/>
          <w:bCs/>
          <w:sz w:val="24"/>
        </w:rPr>
        <w:t>▲</w:t>
      </w:r>
      <w:r>
        <w:rPr>
          <w:rFonts w:hint="eastAsia" w:ascii="宋体" w:hAnsi="宋体" w:eastAsia="宋体" w:cs="宋体"/>
          <w:sz w:val="28"/>
          <w:szCs w:val="28"/>
          <w:lang w:val="en-US" w:eastAsia="zh-CN"/>
        </w:rPr>
        <w:t>压力报警限设置范围-50mmHg～150mmHg或-6.65kPa～19.95kPa。</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Times New Roman" w:hAnsi="Times New Roman" w:cs="Times New Roman"/>
          <w:bCs/>
          <w:sz w:val="24"/>
        </w:rPr>
        <w:t>▲</w:t>
      </w:r>
      <w:r>
        <w:rPr>
          <w:rFonts w:hint="eastAsia" w:ascii="宋体" w:hAnsi="宋体" w:eastAsia="宋体" w:cs="宋体"/>
          <w:sz w:val="28"/>
          <w:szCs w:val="28"/>
          <w:lang w:val="en-US" w:eastAsia="zh-CN"/>
        </w:rPr>
        <w:t>温度显示分辨0.1°C 或0.2°F</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Times New Roman" w:hAnsi="Times New Roman" w:cs="Times New Roman"/>
          <w:bCs/>
          <w:sz w:val="24"/>
        </w:rPr>
        <w:t>▲</w:t>
      </w:r>
      <w:r>
        <w:rPr>
          <w:rFonts w:hint="eastAsia" w:ascii="宋体" w:hAnsi="宋体" w:eastAsia="宋体" w:cs="宋体"/>
          <w:sz w:val="28"/>
          <w:szCs w:val="28"/>
          <w:lang w:val="en-US" w:eastAsia="zh-CN"/>
        </w:rPr>
        <w:t>温度显示范围25°C～45° C或77°F～113°F</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11、患者信息：可输入患者信息，并将患者信息存储在传感器中，更换主机后自动识别患者信息及传感器编码。</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12、数据存储：可存储≥7个患者连续14天压力/温度趋势数据，数据可导出。</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13、外部供电电压：220VAC±10%  内部供电：可充电锂电池，续航2小时以上。</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14、颅内压传感器内置传感器编号，与颅内压监护仪连接后，可将传感器编号显示在颅内压监护仪界面上。</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15、颅内压传感器可以记录校零时间点，在颅内压监护仪上可以自动计算校零后的颅内压传感使用时间。</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16、传感器可任意弯折。</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17、传感器漏电电流，对传感器金属部分施加242V交流电，漏电流不大于10µA。</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18、报警功能：具有电池电源低提示报警、传感器脱落报警、平均压力超限报警、平均温度超限报警，报警音量4档可调。</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19、颅内压传感器具有零点记录功能，无需手工记录零点。</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default" w:ascii="Times New Roman" w:hAnsi="Times New Roman" w:cs="Times New Roman"/>
          <w:bCs/>
          <w:sz w:val="24"/>
        </w:rPr>
        <w:t>▲</w:t>
      </w:r>
      <w:r>
        <w:rPr>
          <w:rFonts w:hint="eastAsia" w:ascii="宋体" w:hAnsi="宋体" w:eastAsia="宋体" w:cs="宋体"/>
          <w:sz w:val="28"/>
          <w:szCs w:val="28"/>
          <w:lang w:val="en-US" w:eastAsia="zh-CN"/>
        </w:rPr>
        <w:t>传感器探条植入人体部分导线直径≤0.7mm。</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r>
        <w:rPr>
          <w:rFonts w:hint="default" w:ascii="Times New Roman" w:hAnsi="Times New Roman" w:cs="Times New Roman"/>
          <w:bCs/>
          <w:sz w:val="24"/>
        </w:rPr>
        <w:t>▲</w:t>
      </w:r>
      <w:r>
        <w:rPr>
          <w:rFonts w:hint="eastAsia" w:ascii="宋体" w:hAnsi="宋体" w:eastAsia="宋体" w:cs="宋体"/>
          <w:sz w:val="28"/>
          <w:szCs w:val="28"/>
          <w:lang w:val="en-US" w:eastAsia="zh-CN"/>
        </w:rPr>
        <w:t>传感器探条长度：不低于1米。断裂强度：传感器探条导线拉断不低于7N，可选一次性配件：皮下遂道针、开颅钻、探针。</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22、可对颅内压力和温度进行监测。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23、自验收合格之日起计整机免费原厂保修期≥3年（包含维护、保养、维修及所有零配件等）</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配置要求：</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1.多参数颅内压监护仪主机 1台</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2.耦合电缆1条</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3.电源适配器 1个</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4.操作说明书 1本</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7048645"/>
      <w:bookmarkStart w:id="50" w:name="_Toc97049027"/>
      <w:bookmarkStart w:id="51" w:name="_Toc9145"/>
      <w:bookmarkStart w:id="52" w:name="_Toc97048967"/>
      <w:bookmarkStart w:id="53" w:name="_Toc97042591"/>
      <w:bookmarkStart w:id="54" w:name="_Toc97049461"/>
      <w:bookmarkStart w:id="55" w:name="_Toc10033"/>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331"/>
      <w:bookmarkStart w:id="83" w:name="_Toc50737293"/>
      <w:bookmarkStart w:id="84" w:name="_Toc50736479"/>
      <w:bookmarkStart w:id="85" w:name="_Toc50691028"/>
      <w:bookmarkStart w:id="86" w:name="_Toc50737299"/>
      <w:bookmarkStart w:id="87" w:name="_Toc52165083"/>
      <w:bookmarkStart w:id="88" w:name="_Toc52165077"/>
      <w:bookmarkStart w:id="89" w:name="_Toc76354927"/>
      <w:bookmarkStart w:id="90" w:name="_Toc50737325"/>
      <w:bookmarkStart w:id="91" w:name="_Toc50736473"/>
      <w:bookmarkStart w:id="92" w:name="_Toc50691040"/>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7329"/>
      <w:bookmarkStart w:id="107" w:name="_Toc50736477"/>
      <w:bookmarkStart w:id="108" w:name="_Toc76354925"/>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326"/>
      <w:bookmarkStart w:id="121" w:name="_Toc50737294"/>
      <w:bookmarkStart w:id="122" w:name="_Toc50736474"/>
      <w:bookmarkStart w:id="123" w:name="_Toc76354922"/>
      <w:bookmarkStart w:id="124" w:name="_Toc52165078"/>
    </w:p>
    <w:p>
      <w:pPr>
        <w:pStyle w:val="12"/>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42EE9DC"/>
    <w:multiLevelType w:val="singleLevel"/>
    <w:tmpl w:val="B42EE9DC"/>
    <w:lvl w:ilvl="0" w:tentative="0">
      <w:start w:val="1"/>
      <w:numFmt w:val="decimal"/>
      <w:suff w:val="nothing"/>
      <w:lvlText w:val="%1、"/>
      <w:lvlJc w:val="left"/>
    </w:lvl>
  </w:abstractNum>
  <w:abstractNum w:abstractNumId="4">
    <w:nsid w:val="B8AE99C7"/>
    <w:multiLevelType w:val="singleLevel"/>
    <w:tmpl w:val="B8AE99C7"/>
    <w:lvl w:ilvl="0" w:tentative="0">
      <w:start w:val="1"/>
      <w:numFmt w:val="chineseCounting"/>
      <w:suff w:val="nothing"/>
      <w:lvlText w:val="%1、"/>
      <w:lvlJc w:val="left"/>
      <w:rPr>
        <w:rFonts w:hint="eastAsia"/>
      </w:rPr>
    </w:lvl>
  </w:abstractNum>
  <w:abstractNum w:abstractNumId="5">
    <w:nsid w:val="CE707FC6"/>
    <w:multiLevelType w:val="singleLevel"/>
    <w:tmpl w:val="CE707FC6"/>
    <w:lvl w:ilvl="0" w:tentative="0">
      <w:start w:val="1"/>
      <w:numFmt w:val="chineseCounting"/>
      <w:suff w:val="nothing"/>
      <w:lvlText w:val="%1、"/>
      <w:lvlJc w:val="left"/>
      <w:rPr>
        <w:rFonts w:hint="eastAsia"/>
      </w:rPr>
    </w:lvl>
  </w:abstractNum>
  <w:abstractNum w:abstractNumId="6">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23"/>
  </w:num>
  <w:num w:numId="10">
    <w:abstractNumId w:val="2"/>
  </w:num>
  <w:num w:numId="11">
    <w:abstractNumId w:val="13"/>
  </w:num>
  <w:num w:numId="12">
    <w:abstractNumId w:val="9"/>
  </w:num>
  <w:num w:numId="13">
    <w:abstractNumId w:val="24"/>
  </w:num>
  <w:num w:numId="14">
    <w:abstractNumId w:val="6"/>
  </w:num>
  <w:num w:numId="15">
    <w:abstractNumId w:val="7"/>
  </w:num>
  <w:num w:numId="16">
    <w:abstractNumId w:val="14"/>
  </w:num>
  <w:num w:numId="17">
    <w:abstractNumId w:val="16"/>
  </w:num>
  <w:num w:numId="18">
    <w:abstractNumId w:val="0"/>
  </w:num>
  <w:num w:numId="19">
    <w:abstractNumId w:val="12"/>
  </w:num>
  <w:num w:numId="20">
    <w:abstractNumId w:val="17"/>
  </w:num>
  <w:num w:numId="21">
    <w:abstractNumId w:val="8"/>
  </w:num>
  <w:num w:numId="22">
    <w:abstractNumId w:val="11"/>
  </w:num>
  <w:num w:numId="23">
    <w:abstractNumId w:val="10"/>
  </w:num>
  <w:num w:numId="24">
    <w:abstractNumId w:val="5"/>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2025-04-01T08:59:50Z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