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开颅动力系统采购项目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调研</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3897"/>
      <w:bookmarkStart w:id="1" w:name="_Toc97049019"/>
      <w:bookmarkStart w:id="2" w:name="_Toc97042583"/>
      <w:bookmarkStart w:id="3" w:name="_Toc97048637"/>
      <w:bookmarkStart w:id="4" w:name="_Toc97048959"/>
      <w:bookmarkStart w:id="5" w:name="_Toc14383"/>
      <w:bookmarkStart w:id="6" w:name="_Toc5414"/>
      <w:bookmarkStart w:id="7" w:name="_Toc22955"/>
      <w:bookmarkStart w:id="8" w:name="_Toc97049453"/>
      <w:bookmarkStart w:id="9" w:name="_Toc97049014"/>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是指开颅动力系统采购项目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eastAsia="zh-CN"/>
              </w:rPr>
              <w:t>“</w:t>
            </w:r>
            <w:r>
              <w:rPr>
                <w:rFonts w:hint="eastAsia"/>
                <w:color w:val="FF0000"/>
                <w:sz w:val="21"/>
                <w:szCs w:val="21"/>
                <w:highlight w:val="none"/>
                <w:lang w:val="en-US" w:eastAsia="zh-CN"/>
              </w:rPr>
              <w:t>负偏离</w:t>
            </w:r>
            <w:r>
              <w:rPr>
                <w:rFonts w:hint="eastAsia"/>
                <w:color w:val="FF0000"/>
                <w:sz w:val="21"/>
                <w:szCs w:val="21"/>
                <w:highlight w:val="none"/>
                <w:lang w:eastAsia="zh-CN"/>
              </w:rPr>
              <w:t>”</w:t>
            </w:r>
            <w:r>
              <w:rPr>
                <w:rFonts w:hint="eastAsia" w:eastAsia="宋体"/>
                <w:color w:val="FF0000"/>
                <w:sz w:val="21"/>
                <w:szCs w:val="21"/>
                <w:highlight w:val="none"/>
              </w:rPr>
              <w:t>的</w:t>
            </w:r>
            <w:r>
              <w:rPr>
                <w:rFonts w:hint="eastAsia"/>
                <w:color w:val="FF0000"/>
                <w:sz w:val="21"/>
                <w:szCs w:val="21"/>
                <w:highlight w:val="none"/>
                <w:lang w:eastAsia="zh-CN"/>
              </w:rPr>
              <w:t>，</w:t>
            </w:r>
            <w:r>
              <w:rPr>
                <w:rFonts w:hint="eastAsia"/>
                <w:color w:val="FF0000"/>
                <w:sz w:val="21"/>
                <w:szCs w:val="21"/>
                <w:highlight w:val="none"/>
                <w:lang w:val="en-US" w:eastAsia="zh-CN"/>
              </w:rPr>
              <w:t>扣1分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29</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458"/>
      <w:bookmarkStart w:id="28" w:name="_Toc97048642"/>
      <w:bookmarkStart w:id="29" w:name="_Toc97049024"/>
      <w:bookmarkStart w:id="30" w:name="_Toc19972"/>
      <w:bookmarkStart w:id="31" w:name="_Toc17854"/>
      <w:bookmarkStart w:id="32" w:name="_Toc4600"/>
      <w:bookmarkStart w:id="33" w:name="_Toc97042588"/>
      <w:bookmarkStart w:id="34" w:name="_Toc97048964"/>
      <w:bookmarkStart w:id="35" w:name="_Toc97049015"/>
      <w:bookmarkStart w:id="36" w:name="_Toc19293"/>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开颅动力系统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bCs/>
          <w:sz w:val="28"/>
          <w:szCs w:val="28"/>
        </w:rPr>
      </w:pPr>
      <w:r>
        <w:rPr>
          <w:rFonts w:hint="eastAsia" w:ascii="宋体" w:hAnsi="宋体" w:cs="宋体"/>
          <w:b/>
          <w:sz w:val="28"/>
          <w:szCs w:val="28"/>
        </w:rPr>
        <w:t>技术要求</w:t>
      </w:r>
      <w:bookmarkEnd w:id="41"/>
      <w:bookmarkEnd w:id="42"/>
      <w:bookmarkStart w:id="43" w:name="_Toc24364"/>
      <w:bookmarkStart w:id="44" w:name="_Toc22606"/>
      <w:bookmarkStart w:id="45" w:name="_Toc49938637"/>
    </w:p>
    <w:p>
      <w:pPr>
        <w:keepNext w:val="0"/>
        <w:keepLines w:val="0"/>
        <w:pageBreakBefore w:val="0"/>
        <w:widowControl w:val="0"/>
        <w:numPr>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lang w:val="en-US" w:eastAsia="zh-CN"/>
        </w:rPr>
      </w:pPr>
      <w:r>
        <w:rPr>
          <w:rFonts w:hint="eastAsia" w:ascii="宋体" w:hAnsi="宋体" w:cs="宋体"/>
          <w:b/>
          <w:sz w:val="28"/>
          <w:szCs w:val="28"/>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项目及数量：神经外科动力系统一套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2.用途：用于神经外科开颅及微创手术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3.所有设备及配件必须为同一品牌 ，以保证质量稳定性</w:t>
      </w:r>
    </w:p>
    <w:p>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lang w:val="en-US" w:eastAsia="zh-CN"/>
        </w:rPr>
      </w:pPr>
      <w:r>
        <w:rPr>
          <w:rFonts w:hint="eastAsia" w:ascii="宋体" w:hAnsi="宋体" w:cs="宋体"/>
          <w:b/>
          <w:sz w:val="28"/>
          <w:szCs w:val="28"/>
          <w:lang w:val="en-US" w:eastAsia="zh-CN"/>
        </w:rPr>
        <w:t>主要参数</w:t>
      </w:r>
      <w:bookmarkStart w:id="158" w:name="_GoBack"/>
      <w:bookmarkEnd w:id="15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1.1电源输入：100-240VAC，50-60HZ；</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1.2液晶互动触摸屏：屏幕尺寸＞8英寸，分辨率480×640象素；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1.3 高解析度触摸屏显示并控制转速、转向（顺、逆时针旋转）；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1.4 高解析度触摸屏显示并控制手柄连接状态、注水量等；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1.5高解析度触摸屏可提供不同类型手术的数据参数，具有帮助菜单，方便操作。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1.6至少预留7个以上功能接口，高速水冷耳钻和显微耳钻，高速电钻和神经监护仪、内窥镜冲洗系统，脊柱外科刨削系统等；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1.7主机配备应急手控装置，可控制手柄运转；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1.8无级变速多功能脚踏：具备控制马达开停、马达转速、多个手柄之间切换等功能；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1.9脚踏：提供无级变速及定速动力两种模式操作动力；具备背光照明，以起到提示作用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1.10马达自动识别：能自动识别马达的种类；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1.11马达安装帮助：当插入马达时，屏幕该马达显示操作方法；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1.12具备故障自检系统，并通过故障代码显示故障原因；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1.13内设帮助菜单，直观图示操作步骤；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1.14注水泵：内置式双泵，水量控制可调，主机脚踏开关控制同步冲水；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1.15注水泵提供瞬间大流量冲洗功能，保证术中钻头通畅；自由选择注水量；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1.16可以连接神经监护仪：提供神经监护功能；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1.17马达类型：高速电钻马达, 耐高温高压消毒；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1.18电缆线：耐高温高压消毒，马达电缆两端通用；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1.19钻头安装类型：≤3步安装，快速更换；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1.20马达直径：≤0.8in(英寸)；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1.21马达长度：≤3.6in(英寸)；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1.22消毒方法：预真空或常规蒸气高温高压消毒或环氧乙烷消毒；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1.23马达标准速度 rpm：最高转速：75，000 RPM，可正反转；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1.24驱动附件：可选择类型不少于20种，包括金属切割附件、骨研磨驱动附件和显微驱动附件，可伸缩的管道；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1.25专业显微管道≥8种可选，角度、弧形、护套型、直型可选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1.26钻头：可选择不同型号的钻头不得少于280种；</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9461"/>
      <w:bookmarkStart w:id="49" w:name="_Toc97048645"/>
      <w:bookmarkStart w:id="50" w:name="_Toc97048967"/>
      <w:bookmarkStart w:id="51" w:name="_Toc97049016"/>
      <w:bookmarkStart w:id="52" w:name="_Toc9145"/>
      <w:bookmarkStart w:id="53" w:name="_Toc97049027"/>
      <w:bookmarkStart w:id="54" w:name="_Toc10033"/>
      <w:bookmarkStart w:id="55" w:name="_Toc97042591"/>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9"/>
      <w:bookmarkStart w:id="83" w:name="_Toc50737331"/>
      <w:bookmarkStart w:id="84" w:name="_Toc50736473"/>
      <w:bookmarkStart w:id="85" w:name="_Toc76354927"/>
      <w:bookmarkStart w:id="86" w:name="_Toc52165077"/>
      <w:bookmarkStart w:id="87" w:name="_Toc76354921"/>
      <w:bookmarkStart w:id="88" w:name="_Toc50691040"/>
      <w:bookmarkStart w:id="89" w:name="_Toc50691028"/>
      <w:bookmarkStart w:id="90" w:name="_Toc50737293"/>
      <w:bookmarkStart w:id="91" w:name="_Toc50737325"/>
      <w:bookmarkStart w:id="92" w:name="_Toc52165083"/>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6477"/>
      <w:bookmarkStart w:id="106" w:name="_Toc50737329"/>
      <w:bookmarkStart w:id="107" w:name="_Toc76354925"/>
      <w:bookmarkStart w:id="108" w:name="_Toc52165081"/>
      <w:bookmarkStart w:id="109" w:name="_Toc5073729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0736474"/>
      <w:bookmarkStart w:id="122" w:name="_Toc52165078"/>
      <w:bookmarkStart w:id="123" w:name="_Toc50691030"/>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5815F74"/>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2F27CB"/>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77455F"/>
    <w:rsid w:val="56837639"/>
    <w:rsid w:val="56DA2EDE"/>
    <w:rsid w:val="56F07D11"/>
    <w:rsid w:val="56FA30BF"/>
    <w:rsid w:val="573E7E5F"/>
    <w:rsid w:val="57C44380"/>
    <w:rsid w:val="57DE7748"/>
    <w:rsid w:val="582846D4"/>
    <w:rsid w:val="58345199"/>
    <w:rsid w:val="588B2C30"/>
    <w:rsid w:val="58DF2F7C"/>
    <w:rsid w:val="592D054F"/>
    <w:rsid w:val="596F5FF3"/>
    <w:rsid w:val="59711086"/>
    <w:rsid w:val="599E1B6F"/>
    <w:rsid w:val="59DD4E9C"/>
    <w:rsid w:val="59F30A9C"/>
    <w:rsid w:val="5A6A0CB9"/>
    <w:rsid w:val="5A7C5E86"/>
    <w:rsid w:val="5B474AB2"/>
    <w:rsid w:val="5BB656CE"/>
    <w:rsid w:val="5CE172C2"/>
    <w:rsid w:val="5CEB5BAD"/>
    <w:rsid w:val="5D1903FE"/>
    <w:rsid w:val="5D1C78CE"/>
    <w:rsid w:val="5D5B76D9"/>
    <w:rsid w:val="5EA84474"/>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875FB3"/>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67D3F"/>
    <w:rsid w:val="6D9B2DBF"/>
    <w:rsid w:val="6DAF5F22"/>
    <w:rsid w:val="6DF1338D"/>
    <w:rsid w:val="6ED422C2"/>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A6754C"/>
    <w:rsid w:val="7BB67714"/>
    <w:rsid w:val="7BC56F2C"/>
    <w:rsid w:val="7BC63DFB"/>
    <w:rsid w:val="7BCD5BBF"/>
    <w:rsid w:val="7CA10CEE"/>
    <w:rsid w:val="7CB41EA6"/>
    <w:rsid w:val="7D466D3C"/>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2025-04-11T01:08:00Z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