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神经导航系统采购项目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调研</w:t>
      </w:r>
      <w:r>
        <w:rPr>
          <w:rFonts w:hint="eastAsia" w:ascii="宋体" w:hAnsi="宋体" w:cs="宋体"/>
          <w:b/>
          <w:bCs/>
          <w:sz w:val="32"/>
          <w:szCs w:val="32"/>
          <w:lang w:eastAsia="zh-CN"/>
        </w:rPr>
        <w:t>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2025年4</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3897"/>
      <w:bookmarkStart w:id="1" w:name="_Toc5414"/>
      <w:bookmarkStart w:id="2" w:name="_Toc97049019"/>
      <w:bookmarkStart w:id="3" w:name="_Toc97042583"/>
      <w:bookmarkStart w:id="4" w:name="_Toc97048637"/>
      <w:bookmarkStart w:id="5" w:name="_Toc97048959"/>
      <w:bookmarkStart w:id="6" w:name="_Toc14383"/>
      <w:bookmarkStart w:id="7" w:name="_Toc97049014"/>
      <w:bookmarkStart w:id="8" w:name="_Toc97049453"/>
      <w:bookmarkStart w:id="9" w:name="_Toc22955"/>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是指神经导航系统采购项目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eastAsia="zh-CN"/>
              </w:rPr>
              <w:t>“</w:t>
            </w:r>
            <w:r>
              <w:rPr>
                <w:rFonts w:hint="eastAsia"/>
                <w:color w:val="FF0000"/>
                <w:sz w:val="21"/>
                <w:szCs w:val="21"/>
                <w:highlight w:val="none"/>
                <w:lang w:val="en-US" w:eastAsia="zh-CN"/>
              </w:rPr>
              <w:t>负偏离</w:t>
            </w:r>
            <w:r>
              <w:rPr>
                <w:rFonts w:hint="eastAsia"/>
                <w:color w:val="FF0000"/>
                <w:sz w:val="21"/>
                <w:szCs w:val="21"/>
                <w:highlight w:val="none"/>
                <w:lang w:eastAsia="zh-CN"/>
              </w:rPr>
              <w:t>”</w:t>
            </w:r>
            <w:r>
              <w:rPr>
                <w:rFonts w:hint="eastAsia" w:eastAsia="宋体"/>
                <w:color w:val="FF0000"/>
                <w:sz w:val="21"/>
                <w:szCs w:val="21"/>
                <w:highlight w:val="none"/>
              </w:rPr>
              <w:t>的</w:t>
            </w:r>
            <w:r>
              <w:rPr>
                <w:rFonts w:hint="eastAsia"/>
                <w:color w:val="FF0000"/>
                <w:sz w:val="21"/>
                <w:szCs w:val="21"/>
                <w:highlight w:val="none"/>
                <w:lang w:eastAsia="zh-CN"/>
              </w:rPr>
              <w:t>，</w:t>
            </w:r>
            <w:r>
              <w:rPr>
                <w:rFonts w:hint="eastAsia"/>
                <w:color w:val="FF0000"/>
                <w:sz w:val="21"/>
                <w:szCs w:val="21"/>
                <w:highlight w:val="none"/>
                <w:lang w:val="en-US" w:eastAsia="zh-CN"/>
              </w:rPr>
              <w:t>扣0.5分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8</w:t>
            </w:r>
            <w:bookmarkStart w:id="158" w:name="_GoBack"/>
            <w:bookmarkEnd w:id="158"/>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eastAsia="zh-CN"/>
              </w:rPr>
              <w:t>，</w:t>
            </w:r>
            <w:r>
              <w:rPr>
                <w:rFonts w:hint="eastAsia"/>
                <w:color w:val="FF0000"/>
                <w:sz w:val="21"/>
                <w:szCs w:val="21"/>
                <w:highlight w:val="none"/>
                <w:lang w:val="en-US" w:eastAsia="zh-CN"/>
              </w:rPr>
              <w:t>得1.5分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21</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7854"/>
      <w:bookmarkStart w:id="28" w:name="_Toc19293"/>
      <w:bookmarkStart w:id="29" w:name="_Toc97042588"/>
      <w:bookmarkStart w:id="30" w:name="_Toc19972"/>
      <w:bookmarkStart w:id="31" w:name="_Toc97049015"/>
      <w:bookmarkStart w:id="32" w:name="_Toc97049024"/>
      <w:bookmarkStart w:id="33" w:name="_Toc97048642"/>
      <w:bookmarkStart w:id="34" w:name="_Toc97049458"/>
      <w:bookmarkStart w:id="35" w:name="_Toc4600"/>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神经导航系统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bCs/>
          <w:sz w:val="28"/>
          <w:szCs w:val="28"/>
        </w:rPr>
      </w:pPr>
      <w:r>
        <w:rPr>
          <w:rFonts w:hint="eastAsia" w:ascii="宋体" w:hAnsi="宋体" w:cs="宋体"/>
          <w:b/>
          <w:sz w:val="28"/>
          <w:szCs w:val="28"/>
        </w:rPr>
        <w:t>技术要求</w:t>
      </w:r>
      <w:bookmarkEnd w:id="41"/>
      <w:bookmarkEnd w:id="42"/>
      <w:bookmarkStart w:id="43" w:name="_Toc22606"/>
      <w:bookmarkStart w:id="44" w:name="_Toc24364"/>
      <w:bookmarkStart w:id="45" w:name="_Toc4993863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1、总体要求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1.1项目及数量：神经外科手术导航系统一套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1.2确保系统运算速度快，安全稳定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1.3提供厂家现有销售的最高端机型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1.4提供NMPA及FDA认证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1.5 双操作台显示屏，方便主刀及助手从不同角度观看，两台车均可完成导航应用操作，（需提供说明书和操作视频证明）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2、主要参数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主机台车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配置主机原厂≥27英寸高清显示器，分辨率≥2560×1440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2.2</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主机台车可支持多点触控功能操作主机系统 ，通过触摸屏可完成所有导航操作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2.3  配备脚踏开关，支持通过脚踏开关实现主机系统操作，可进行注册、冻结屏幕等操作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2.4  具备DICOM3.0协议标准接口，可连接医院局域网络传输标准影像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2.5  设备可支持与O臂联动，O臂图像可通过网线直接传输至导航，并与患者其他多模态影像图像自动配准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2.6 主机台车内置原装UPS电源，可支持断电工作≥5min，保障手术室意外断电时手术及患者数据安全（需提供技术白皮书证明）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摄像头台车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2.7</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配置原装≥27英寸高清显示器（非外接显示器），分辨率≥2560×1440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2.8</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摄像头台车可支持多点触控功能操作主机系统，通过触摸屏可完成所有导航操作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2.9</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固定摄像头台车位置时，摄像头支撑臂可支持等中心立体旋转，支持X、Y、Z三个方向旋转，旋转角度≥720°，运动关节数≥5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定位追踪系统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2.10</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配备红外线光学跟踪技术，跟踪范围≥3m （提供技术白皮书证明）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2.11注册方式≥3种，可采用点注册、面注册，也可实现点面叠加注册，每种方式注册时间都≤1min(提供技术白皮书和视频证明)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2.12</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提供注册精度区域评价体系：即可用不同颜色在二维空间和三维空间显示手术区域精度，二维和三维图像上有手术区域精度偏差小于1-2mm区域精度提示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2.13单把光学导航工具反射球（提供技术白皮书或实物图片证明）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软件功能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2.14支持 CT、MR、DSA、PET、SPECT、X射线和超声影像等 DICOM 格式医学影像的处理，包含BOLD、MRS、DSA、CTA、CTV等全部 DICOM 格式医学影像的全部模态，可完成多个影像自动融合及校正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2.15支持三维模型旋转、切割，并按照术者需求自定义组织模型并进行保存及调取等操作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2.16可根据手术需求，智能勾画ROI区域，提供三维彩色模型，并支持手动及自动两种描记方式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2.17</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具备内镜模拟视图，可三维模拟显示内镜视角（需操作视频或技术白皮书证明）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2.18 具备纤维束重建成像功能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手术工具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2.19专用导航工具能通过与患者参考架配合，一步完成验证，无需其他配件辅助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2.20具备专用患者参考架远程操控系统功能，参考架上具备虚拟按键数量≥8个，可进行前进、后退、放大、缩小、确定、取消等便捷操作，方便术者无菌操作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2.21配置均为无源手术工具，无需插电或更换锂电池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 xml:space="preserve">2.22配备≥3种尺寸的通用工具适配器，适配不同型号工具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 xml:space="preserve">2.23配备光学分流引流工具，实现导航追踪下置管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2.24具备显微镜联合应用功能，实现镜内投射功能（能与用户现有显微镜进行匹配联合使用）</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16"/>
      <w:bookmarkStart w:id="49" w:name="_Toc97049027"/>
      <w:bookmarkStart w:id="50" w:name="_Toc97048967"/>
      <w:bookmarkStart w:id="51" w:name="_Toc10033"/>
      <w:bookmarkStart w:id="52" w:name="_Toc97048645"/>
      <w:bookmarkStart w:id="53" w:name="_Toc97042591"/>
      <w:bookmarkStart w:id="54" w:name="_Toc97049461"/>
      <w:bookmarkStart w:id="55" w:name="_Toc9145"/>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299"/>
      <w:bookmarkStart w:id="83" w:name="_Toc50691028"/>
      <w:bookmarkStart w:id="84" w:name="_Toc50737293"/>
      <w:bookmarkStart w:id="85" w:name="_Toc50737325"/>
      <w:bookmarkStart w:id="86" w:name="_Toc52165083"/>
      <w:bookmarkStart w:id="87" w:name="_Toc50691040"/>
      <w:bookmarkStart w:id="88" w:name="_Toc76354921"/>
      <w:bookmarkStart w:id="89" w:name="_Toc50737331"/>
      <w:bookmarkStart w:id="90" w:name="_Toc76354927"/>
      <w:bookmarkStart w:id="91" w:name="_Toc52165077"/>
      <w:bookmarkStart w:id="92" w:name="_Toc50736473"/>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6477"/>
      <w:bookmarkStart w:id="106" w:name="_Toc50737329"/>
      <w:bookmarkStart w:id="107" w:name="_Toc76354925"/>
      <w:bookmarkStart w:id="108" w:name="_Toc52165081"/>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2165078"/>
      <w:bookmarkStart w:id="120" w:name="_Toc50691030"/>
      <w:bookmarkStart w:id="121" w:name="_Toc50737294"/>
      <w:bookmarkStart w:id="122" w:name="_Toc50736474"/>
      <w:bookmarkStart w:id="123" w:name="_Toc50737326"/>
      <w:bookmarkStart w:id="124" w:name="_Toc76354922"/>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4321"/>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5815F74"/>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2F27CB"/>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77455F"/>
    <w:rsid w:val="56837639"/>
    <w:rsid w:val="56DA2EDE"/>
    <w:rsid w:val="56F07D11"/>
    <w:rsid w:val="56FA30BF"/>
    <w:rsid w:val="573E7E5F"/>
    <w:rsid w:val="57C44380"/>
    <w:rsid w:val="57DE7748"/>
    <w:rsid w:val="582846D4"/>
    <w:rsid w:val="58345199"/>
    <w:rsid w:val="588B2C30"/>
    <w:rsid w:val="58DF2F7C"/>
    <w:rsid w:val="592D054F"/>
    <w:rsid w:val="596F5FF3"/>
    <w:rsid w:val="59711086"/>
    <w:rsid w:val="599E1B6F"/>
    <w:rsid w:val="59DD4E9C"/>
    <w:rsid w:val="59F30A9C"/>
    <w:rsid w:val="5A6A0CB9"/>
    <w:rsid w:val="5A7C5E86"/>
    <w:rsid w:val="5B474AB2"/>
    <w:rsid w:val="5BB656CE"/>
    <w:rsid w:val="5CE172C2"/>
    <w:rsid w:val="5CEB5BAD"/>
    <w:rsid w:val="5D1903FE"/>
    <w:rsid w:val="5D1C78CE"/>
    <w:rsid w:val="5D5B76D9"/>
    <w:rsid w:val="5EA84474"/>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875FB3"/>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67D3F"/>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A6754C"/>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10</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2025-04-10T02:39:51Z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