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新生儿中央监护仪采购项目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val="en-US" w:eastAsia="zh-CN"/>
        </w:rPr>
        <w:t>调研</w:t>
      </w:r>
      <w:r>
        <w:rPr>
          <w:rFonts w:hint="eastAsia" w:ascii="宋体" w:hAnsi="宋体" w:cs="宋体"/>
          <w:b/>
          <w:bCs/>
          <w:sz w:val="32"/>
          <w:szCs w:val="32"/>
          <w:lang w:eastAsia="zh-CN"/>
        </w:rPr>
        <w:t>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2025年3</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11</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97048959"/>
      <w:bookmarkStart w:id="1" w:name="_Toc5414"/>
      <w:bookmarkStart w:id="2" w:name="_Toc97042583"/>
      <w:bookmarkStart w:id="3" w:name="_Toc14383"/>
      <w:bookmarkStart w:id="4" w:name="_Toc97048637"/>
      <w:bookmarkStart w:id="5" w:name="_Toc22955"/>
      <w:bookmarkStart w:id="6" w:name="_Toc23897"/>
      <w:bookmarkStart w:id="7" w:name="_Toc97049019"/>
      <w:bookmarkStart w:id="8" w:name="_Toc97049453"/>
      <w:bookmarkStart w:id="9" w:name="_Toc97049014"/>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是指新生儿中央监护仪采购项目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得0.5</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7</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7</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cs="Times New Roman"/>
                <w:szCs w:val="21"/>
                <w:highlight w:val="none"/>
                <w:lang w:val="en-US" w:eastAsia="zh-CN"/>
              </w:rPr>
            </w:pPr>
            <w:r>
              <w:rPr>
                <w:rFonts w:hint="eastAsia" w:cs="Times New Roman"/>
                <w:szCs w:val="21"/>
                <w:highlight w:val="none"/>
                <w:lang w:val="en-US" w:eastAsia="zh-CN"/>
              </w:rPr>
              <w:t>2</w:t>
            </w:r>
          </w:p>
        </w:tc>
        <w:tc>
          <w:tcPr>
            <w:tcW w:w="1411" w:type="dxa"/>
            <w:shd w:val="clear" w:color="auto" w:fill="auto"/>
            <w:vAlign w:val="center"/>
          </w:tcPr>
          <w:p>
            <w:pPr>
              <w:jc w:val="center"/>
              <w:rPr>
                <w:rFonts w:eastAsia="宋体"/>
                <w:sz w:val="21"/>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eastAsia="宋体"/>
                <w:sz w:val="21"/>
                <w:szCs w:val="21"/>
                <w:highlight w:val="none"/>
                <w:lang w:val="en-US" w:eastAsia="zh-CN"/>
              </w:rPr>
              <w:t>重要技术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根据报名文件对技术要求条款中的</w:t>
            </w:r>
            <w:r>
              <w:rPr>
                <w:rFonts w:hint="eastAsia" w:eastAsia="宋体"/>
                <w:sz w:val="21"/>
                <w:szCs w:val="21"/>
                <w:highlight w:val="none"/>
                <w:lang w:val="en-US" w:eastAsia="zh-CN"/>
              </w:rPr>
              <w:t>重要</w:t>
            </w:r>
            <w:r>
              <w:rPr>
                <w:rFonts w:hint="eastAsia" w:eastAsia="宋体"/>
                <w:sz w:val="21"/>
                <w:szCs w:val="21"/>
                <w:highlight w:val="none"/>
              </w:rPr>
              <w:t>技术要求（“▲”号技术/服务条款）的响应情况进行评审</w:t>
            </w:r>
            <w:r>
              <w:rPr>
                <w:rFonts w:hint="eastAsia" w:eastAsia="宋体"/>
                <w:color w:val="FF0000"/>
                <w:sz w:val="21"/>
                <w:szCs w:val="21"/>
                <w:highlight w:val="none"/>
                <w:lang w:val="en-US" w:eastAsia="zh-CN"/>
              </w:rPr>
              <w:t>每项</w:t>
            </w:r>
            <w:r>
              <w:rPr>
                <w:rFonts w:hint="eastAsia"/>
                <w:color w:val="FF0000"/>
                <w:sz w:val="21"/>
                <w:szCs w:val="21"/>
                <w:highlight w:val="none"/>
                <w:lang w:val="en-US" w:eastAsia="zh-CN"/>
              </w:rPr>
              <w:t>重要</w:t>
            </w:r>
            <w:bookmarkStart w:id="158" w:name="_GoBack"/>
            <w:bookmarkEnd w:id="158"/>
            <w:r>
              <w:rPr>
                <w:rFonts w:hint="eastAsia" w:eastAsia="宋体"/>
                <w:color w:val="FF0000"/>
                <w:sz w:val="21"/>
                <w:szCs w:val="21"/>
                <w:highlight w:val="none"/>
                <w:lang w:val="en-US" w:eastAsia="zh-CN"/>
              </w:rPr>
              <w:t>性</w:t>
            </w:r>
            <w:r>
              <w:rPr>
                <w:rFonts w:hint="eastAsia" w:eastAsia="宋体"/>
                <w:color w:val="FF0000"/>
                <w:sz w:val="21"/>
                <w:szCs w:val="21"/>
                <w:highlight w:val="none"/>
              </w:rPr>
              <w:t>技术要求响应情况为“正偏离”或“符合”或“无偏离”的，</w:t>
            </w:r>
            <w:r>
              <w:rPr>
                <w:rFonts w:hint="eastAsia" w:eastAsia="宋体"/>
                <w:color w:val="FF0000"/>
                <w:sz w:val="21"/>
                <w:szCs w:val="21"/>
                <w:highlight w:val="none"/>
                <w:lang w:val="en-US" w:eastAsia="zh-CN"/>
              </w:rPr>
              <w:t>得</w:t>
            </w:r>
            <w:r>
              <w:rPr>
                <w:rFonts w:hint="eastAsia"/>
                <w:color w:val="FF0000"/>
                <w:sz w:val="21"/>
                <w:szCs w:val="21"/>
                <w:highlight w:val="none"/>
                <w:lang w:val="en-US" w:eastAsia="zh-CN"/>
              </w:rPr>
              <w:t>2</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28</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cs="Times New Roman"/>
                <w:szCs w:val="21"/>
                <w:highlight w:val="none"/>
                <w:lang w:val="en-US" w:eastAsia="zh-CN"/>
              </w:rPr>
            </w:pPr>
            <w:r>
              <w:rPr>
                <w:rFonts w:hint="eastAsia" w:cs="Times New Roman"/>
                <w:szCs w:val="21"/>
                <w:highlight w:val="none"/>
                <w:lang w:val="en-US" w:eastAsia="zh-CN"/>
              </w:rPr>
              <w:t>28</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3</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1</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3</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1</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8642"/>
      <w:bookmarkStart w:id="28" w:name="_Toc97042588"/>
      <w:bookmarkStart w:id="29" w:name="_Toc19972"/>
      <w:bookmarkStart w:id="30" w:name="_Toc97049458"/>
      <w:bookmarkStart w:id="31" w:name="_Toc4600"/>
      <w:bookmarkStart w:id="32" w:name="_Toc17854"/>
      <w:bookmarkStart w:id="33" w:name="_Toc97049015"/>
      <w:bookmarkStart w:id="34" w:name="_Toc97049024"/>
      <w:bookmarkStart w:id="35" w:name="_Toc97048964"/>
      <w:bookmarkStart w:id="36" w:name="_Toc19293"/>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9800"/>
      <w:bookmarkStart w:id="42" w:name="_Toc21383"/>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val="en-US" w:eastAsia="zh-CN"/>
              </w:rPr>
              <w:t>新生儿中央监护仪</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22</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widowControl w:val="0"/>
        <w:numPr>
          <w:ilvl w:val="0"/>
          <w:numId w:val="0"/>
        </w:numPr>
        <w:ind w:firstLine="560" w:firstLineChars="200"/>
        <w:jc w:val="both"/>
        <w:rPr>
          <w:rFonts w:hint="eastAsia" w:ascii="宋体" w:hAnsi="宋体" w:cs="宋体"/>
          <w:b w:val="0"/>
          <w:bCs w:val="0"/>
          <w:color w:val="auto"/>
          <w:sz w:val="28"/>
          <w:szCs w:val="28"/>
          <w:highlight w:val="none"/>
          <w:lang w:val="en-US" w:eastAsia="zh-CN"/>
        </w:rPr>
      </w:pPr>
      <w:bookmarkStart w:id="43" w:name="_Toc22606"/>
      <w:bookmarkStart w:id="44" w:name="_Toc24364"/>
      <w:bookmarkStart w:id="45" w:name="_Toc49938637"/>
      <w:r>
        <w:rPr>
          <w:rFonts w:hint="eastAsia" w:ascii="宋体" w:hAnsi="宋体" w:cs="宋体"/>
          <w:b w:val="0"/>
          <w:bCs w:val="0"/>
          <w:color w:val="auto"/>
          <w:sz w:val="28"/>
          <w:szCs w:val="28"/>
          <w:highlight w:val="none"/>
          <w:lang w:val="en-US" w:eastAsia="zh-CN"/>
        </w:rPr>
        <w:t>新生儿中央监护系统包含一套中央监护系统和22台监护仪，其中包含10台普通新生儿监护仪、10台支持单IBP测量的监护仪、2台支持EtCO2测量的监护仪。</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（一）新生儿监护仪</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1.≥10英寸电容式触摸屏，分辨率≥800*600，≥8通道波形显示</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2.适用于小儿、新生儿的监测</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3.标配新生儿专用附件，包括心电电缆、可重复使用血氧探头、血压测量袖带</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4.包括呼吸氧合界面、大字体界面、单血氧界面等监测界面</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5.可监测心电、呼吸、无创血压、血氧饱和度、脉搏、体温、有创血压等参数</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6.支持3导、5导心电监测，</w:t>
      </w:r>
      <w:r>
        <w:rPr>
          <w:rFonts w:hint="eastAsia" w:ascii="宋体" w:hAnsi="宋体" w:cs="宋体"/>
          <w:b w:val="0"/>
          <w:bCs w:val="0"/>
          <w:sz w:val="28"/>
          <w:szCs w:val="28"/>
          <w:highlight w:val="none"/>
          <w:lang w:val="en-US" w:eastAsia="zh-CN"/>
        </w:rPr>
        <w:t>可同步分析心电波形≥2通道</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7.具有智能导联脱落，多导联同步分析功能</w:t>
      </w:r>
    </w:p>
    <w:p>
      <w:pPr>
        <w:numPr>
          <w:ilvl w:val="0"/>
          <w:numId w:val="0"/>
        </w:numPr>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8.支持≥20种心律失常分析，</w:t>
      </w:r>
      <w:r>
        <w:rPr>
          <w:rFonts w:hint="eastAsia" w:ascii="宋体" w:hAnsi="宋体" w:cs="宋体"/>
          <w:b w:val="0"/>
          <w:bCs w:val="0"/>
          <w:sz w:val="28"/>
          <w:szCs w:val="28"/>
          <w:highlight w:val="none"/>
          <w:lang w:val="en-US" w:eastAsia="zh-CN"/>
        </w:rPr>
        <w:t>提供ST段分析，具有QT/QTc测量功能</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9.支持心率变异性分析、ST分析、QT分析</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10.提供手动、自动、连续和序列4种测量模式</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11.无创血压新生儿测量范围：平均压不窄于25~125mmHg</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12.支持CCHD新生儿先心病筛查</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13.具有三级声光报警，参数报警级别可调</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14.支持</w:t>
      </w:r>
      <w:r>
        <w:rPr>
          <w:rFonts w:hint="eastAsia" w:ascii="宋体" w:hAnsi="宋体" w:cs="宋体"/>
          <w:b w:val="0"/>
          <w:bCs w:val="0"/>
          <w:sz w:val="28"/>
          <w:szCs w:val="28"/>
          <w:highlight w:val="none"/>
          <w:lang w:val="en-US" w:eastAsia="zh-CN"/>
        </w:rPr>
        <w:t>≥48小时全息波形的存储与回顾、</w:t>
      </w:r>
      <w:r>
        <w:rPr>
          <w:rFonts w:hint="eastAsia" w:ascii="宋体" w:hAnsi="宋体" w:cs="宋体"/>
          <w:b w:val="0"/>
          <w:bCs w:val="0"/>
          <w:color w:val="auto"/>
          <w:sz w:val="28"/>
          <w:szCs w:val="28"/>
          <w:highlight w:val="none"/>
          <w:lang w:val="en-US" w:eastAsia="zh-CN"/>
        </w:rPr>
        <w:t>≥120小时趋势图和趋势表回顾、≥2000组报警事件的存储与回顾、≥1000组NIBP测量结果</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15.10台具备内置一体式有创血压监测功能</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16.2台具备EtCO2测量功能</w:t>
      </w:r>
    </w:p>
    <w:p>
      <w:pPr>
        <w:widowControl w:val="0"/>
        <w:numPr>
          <w:ilvl w:val="0"/>
          <w:numId w:val="0"/>
        </w:numPr>
        <w:jc w:val="both"/>
        <w:rPr>
          <w:rFonts w:hint="default" w:ascii="宋体" w:hAnsi="宋体" w:cs="宋体"/>
          <w:b w:val="0"/>
          <w:bCs w:val="0"/>
          <w:color w:val="auto"/>
          <w:sz w:val="28"/>
          <w:szCs w:val="28"/>
          <w:highlight w:val="none"/>
          <w:lang w:val="en-US" w:eastAsia="zh-CN"/>
        </w:rPr>
      </w:pPr>
      <w:r>
        <w:rPr>
          <w:rFonts w:hint="eastAsia" w:ascii="宋体" w:hAnsi="宋体" w:cs="宋体"/>
          <w:b w:val="0"/>
          <w:bCs w:val="0"/>
          <w:sz w:val="28"/>
          <w:szCs w:val="28"/>
          <w:highlight w:val="none"/>
          <w:lang w:val="en-US" w:eastAsia="zh-CN"/>
        </w:rPr>
        <w:t>17.配置可充电锂电池</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18.自验收合格之日起计整机免费原厂保修期≥5年（包含维护、保养、所有零配件等）</w:t>
      </w:r>
    </w:p>
    <w:p>
      <w:pPr>
        <w:widowControl w:val="0"/>
        <w:numPr>
          <w:ilvl w:val="0"/>
          <w:numId w:val="0"/>
        </w:numPr>
        <w:jc w:val="both"/>
        <w:rPr>
          <w:rFonts w:hint="eastAsia" w:ascii="宋体" w:hAnsi="宋体" w:cs="宋体"/>
          <w:b w:val="0"/>
          <w:bCs w:val="0"/>
          <w:color w:val="auto"/>
          <w:sz w:val="28"/>
          <w:szCs w:val="28"/>
          <w:highlight w:val="none"/>
          <w:lang w:val="en-US" w:eastAsia="zh-CN"/>
        </w:rPr>
      </w:pP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（二）配套中央监护站</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19.支持≥32台监护仪同时联网使用、支持同时连接同品牌的心电监护仪</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20.具备1个≥27寸显示屏，分辨率1920*1080</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21.具备1个60寸挂墙大屏</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22.支持无线、有线联网</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23.可跟医院LIS、HIS系统连接</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24.可支持包括：ECG、RESP、NIBP、SPO2、PR、TEMP、IBP、ETCO2等参数的显示和数据存储</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25.具有病人管理功能，支持查询、编辑、删除等操作</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26.支持病人数据回顾，包括：病人信息、波形回顾、报警回顾、趋势回顾等，支持数据的导入导出</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27.支持≥10000 个历史病人监护数据的存储与回顾</w:t>
      </w:r>
    </w:p>
    <w:p>
      <w:pPr>
        <w:rPr>
          <w:rFonts w:hint="eastAsia"/>
        </w:rPr>
      </w:pPr>
      <w:r>
        <w:rPr>
          <w:rFonts w:hint="eastAsia" w:ascii="宋体" w:hAnsi="宋体" w:cs="宋体"/>
          <w:b w:val="0"/>
          <w:bCs w:val="0"/>
          <w:color w:val="auto"/>
          <w:sz w:val="28"/>
          <w:szCs w:val="28"/>
          <w:highlight w:val="none"/>
          <w:lang w:val="en-US" w:eastAsia="zh-CN"/>
        </w:rPr>
        <w:t>28.具备权限管理功能，敏感问题需得到密码授权才能操作</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29572"/>
      <w:bookmarkStart w:id="47"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应急维修时间安排：报修后，1 小时内响应，</w:t>
      </w:r>
      <w:r>
        <w:rPr>
          <w:rFonts w:hint="eastAsia" w:cs="Times New Roman"/>
          <w:color w:val="000000" w:themeColor="text1"/>
          <w:sz w:val="24"/>
          <w:szCs w:val="24"/>
          <w:lang w:val="en-US" w:eastAsia="zh-CN"/>
          <w14:textFill>
            <w14:solidFill>
              <w14:schemeClr w14:val="tx1"/>
            </w14:solidFill>
          </w14:textFill>
        </w:rPr>
        <w:t>24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3.4 五</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w:t>
      </w:r>
      <w:r>
        <w:rPr>
          <w:rFonts w:hint="eastAsia" w:cs="Times New Roman"/>
          <w:color w:val="000000" w:themeColor="text1"/>
          <w:sz w:val="24"/>
          <w:szCs w:val="24"/>
          <w:lang w:val="en-US" w:eastAsia="zh-CN"/>
          <w14:textFill>
            <w14:solidFill>
              <w14:schemeClr w14:val="tx1"/>
            </w14:solidFill>
          </w14:textFill>
        </w:rPr>
        <w:t>24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5</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24</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9016"/>
      <w:bookmarkStart w:id="49" w:name="_Toc97048967"/>
      <w:bookmarkStart w:id="50" w:name="_Toc97042591"/>
      <w:bookmarkStart w:id="51" w:name="_Toc97049461"/>
      <w:bookmarkStart w:id="52" w:name="_Toc9145"/>
      <w:bookmarkStart w:id="53" w:name="_Toc97049027"/>
      <w:bookmarkStart w:id="54" w:name="_Toc10033"/>
      <w:bookmarkStart w:id="55" w:name="_Toc97048645"/>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30510"/>
      <w:bookmarkStart w:id="57" w:name="_Toc27945"/>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9581"/>
          <w:bookmarkStart w:id="60" w:name="_Toc13947"/>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2697"/>
            <w:bookmarkStart w:id="70" w:name="_Toc15"/>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7613"/>
            <w:bookmarkStart w:id="74" w:name="_Toc5040"/>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736473"/>
      <w:bookmarkStart w:id="83" w:name="_Toc50691040"/>
      <w:bookmarkStart w:id="84" w:name="_Toc50737325"/>
      <w:bookmarkStart w:id="85" w:name="_Toc50737299"/>
      <w:bookmarkStart w:id="86" w:name="_Toc76354921"/>
      <w:bookmarkStart w:id="87" w:name="_Toc76354927"/>
      <w:bookmarkStart w:id="88" w:name="_Toc50736479"/>
      <w:bookmarkStart w:id="89" w:name="_Toc50737293"/>
      <w:bookmarkStart w:id="90" w:name="_Toc52165083"/>
      <w:bookmarkStart w:id="91" w:name="_Toc52165077"/>
      <w:bookmarkStart w:id="92" w:name="_Toc50737331"/>
      <w:bookmarkStart w:id="93" w:name="_Toc50691028"/>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691029"/>
      <w:bookmarkStart w:id="98" w:name="_Toc50703722"/>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3523"/>
      <w:bookmarkStart w:id="103" w:name="_Toc20891"/>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76354925"/>
      <w:bookmarkStart w:id="106" w:name="_Toc50737329"/>
      <w:bookmarkStart w:id="107" w:name="_Toc50737297"/>
      <w:bookmarkStart w:id="108" w:name="_Toc52165081"/>
      <w:bookmarkStart w:id="109" w:name="_Toc50736477"/>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8136"/>
      <w:bookmarkStart w:id="116" w:name="_Toc20295"/>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6474"/>
      <w:bookmarkStart w:id="120" w:name="_Toc76354922"/>
      <w:bookmarkStart w:id="121" w:name="_Toc50691030"/>
      <w:bookmarkStart w:id="122" w:name="_Toc52165078"/>
      <w:bookmarkStart w:id="123" w:name="_Toc50737294"/>
      <w:bookmarkStart w:id="124" w:name="_Toc50737326"/>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4559"/>
      <w:bookmarkStart w:id="149" w:name="_Toc4321"/>
      <w:bookmarkStart w:id="150" w:name="_Toc32022"/>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1FAF7BE0"/>
    <w:rsid w:val="203219EA"/>
    <w:rsid w:val="2063580D"/>
    <w:rsid w:val="20980E90"/>
    <w:rsid w:val="20A06C94"/>
    <w:rsid w:val="20DE3A7A"/>
    <w:rsid w:val="212F6D2E"/>
    <w:rsid w:val="21EB5F66"/>
    <w:rsid w:val="21FA0509"/>
    <w:rsid w:val="2399733B"/>
    <w:rsid w:val="23E07C7D"/>
    <w:rsid w:val="252A5172"/>
    <w:rsid w:val="255015A2"/>
    <w:rsid w:val="2584425C"/>
    <w:rsid w:val="260350B4"/>
    <w:rsid w:val="275E7883"/>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695150"/>
    <w:rsid w:val="62D12359"/>
    <w:rsid w:val="63011964"/>
    <w:rsid w:val="6345552A"/>
    <w:rsid w:val="6386262D"/>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E30BFD"/>
    <w:rsid w:val="70F64853"/>
    <w:rsid w:val="71973F9C"/>
    <w:rsid w:val="71C14AC3"/>
    <w:rsid w:val="71EA0570"/>
    <w:rsid w:val="726A4B3A"/>
    <w:rsid w:val="72DB054B"/>
    <w:rsid w:val="734463E8"/>
    <w:rsid w:val="73981A6A"/>
    <w:rsid w:val="74241083"/>
    <w:rsid w:val="742F3579"/>
    <w:rsid w:val="749F7969"/>
    <w:rsid w:val="74E17FD2"/>
    <w:rsid w:val="74EC45FF"/>
    <w:rsid w:val="76051E03"/>
    <w:rsid w:val="76197675"/>
    <w:rsid w:val="76A74C81"/>
    <w:rsid w:val="76C7741E"/>
    <w:rsid w:val="77991C4E"/>
    <w:rsid w:val="78132A73"/>
    <w:rsid w:val="785C2AA6"/>
    <w:rsid w:val="788B3478"/>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14546</Words>
  <Characters>15057</Characters>
  <Lines>144</Lines>
  <Paragraphs>40</Paragraphs>
  <TotalTime>9</TotalTime>
  <ScaleCrop>false</ScaleCrop>
  <LinksUpToDate>false</LinksUpToDate>
  <CharactersWithSpaces>16305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2025-03-13T09:05:43Z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