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血气分析仪采购项目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val="en-US" w:eastAsia="zh-CN"/>
        </w:rPr>
        <w:t>采购</w:t>
      </w:r>
      <w:r>
        <w:rPr>
          <w:rFonts w:hint="eastAsia" w:ascii="宋体" w:hAnsi="宋体" w:cs="宋体"/>
          <w:b/>
          <w:bCs/>
          <w:sz w:val="32"/>
          <w:szCs w:val="32"/>
          <w:lang w:eastAsia="zh-CN"/>
        </w:rPr>
        <w:t>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2025年3</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22955"/>
      <w:bookmarkStart w:id="1" w:name="_Toc5414"/>
      <w:bookmarkStart w:id="2" w:name="_Toc97042583"/>
      <w:bookmarkStart w:id="3" w:name="_Toc97049014"/>
      <w:bookmarkStart w:id="4" w:name="_Toc97049019"/>
      <w:bookmarkStart w:id="5" w:name="_Toc97049453"/>
      <w:bookmarkStart w:id="6" w:name="_Toc14383"/>
      <w:bookmarkStart w:id="7" w:name="_Toc97048637"/>
      <w:bookmarkStart w:id="8" w:name="_Toc23897"/>
      <w:bookmarkStart w:id="9" w:name="_Toc9704895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是指血气分析仪项目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eastAsia"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w:t>
            </w:r>
            <w:r>
              <w:rPr>
                <w:rFonts w:hint="eastAsia"/>
                <w:sz w:val="21"/>
                <w:szCs w:val="21"/>
                <w:highlight w:val="none"/>
                <w:lang w:val="en-US" w:eastAsia="zh-CN"/>
              </w:rPr>
              <w:t>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eastAsia="宋体"/>
                <w:highlight w:val="none"/>
                <w:lang w:val="en-US" w:eastAsia="zh-CN"/>
              </w:rPr>
            </w:pPr>
            <w:r>
              <w:rPr>
                <w:rFonts w:hint="eastAsia" w:eastAsia="宋体"/>
                <w:sz w:val="21"/>
                <w:szCs w:val="21"/>
                <w:highlight w:val="none"/>
              </w:rPr>
              <w:t>根据</w:t>
            </w:r>
            <w:r>
              <w:rPr>
                <w:rFonts w:hint="eastAsia"/>
                <w:sz w:val="21"/>
                <w:szCs w:val="21"/>
                <w:highlight w:val="none"/>
                <w:lang w:val="en-US" w:eastAsia="zh-CN"/>
              </w:rPr>
              <w:t>供应商</w:t>
            </w:r>
            <w:r>
              <w:rPr>
                <w:rFonts w:hint="eastAsia" w:eastAsia="宋体"/>
                <w:sz w:val="21"/>
                <w:szCs w:val="21"/>
                <w:highlight w:val="none"/>
              </w:rPr>
              <w:t>对</w:t>
            </w:r>
            <w:r>
              <w:rPr>
                <w:rFonts w:eastAsia="宋体"/>
                <w:sz w:val="21"/>
                <w:szCs w:val="21"/>
                <w:highlight w:val="none"/>
              </w:rPr>
              <w:t>一般性</w:t>
            </w:r>
            <w:r>
              <w:rPr>
                <w:rFonts w:hint="eastAsia" w:eastAsia="宋体"/>
                <w:sz w:val="21"/>
                <w:szCs w:val="21"/>
                <w:highlight w:val="none"/>
                <w:lang w:val="en-US" w:eastAsia="zh-CN"/>
              </w:rPr>
              <w:t>技术</w:t>
            </w:r>
            <w:r>
              <w:rPr>
                <w:rFonts w:eastAsia="宋体"/>
                <w:sz w:val="21"/>
                <w:szCs w:val="21"/>
                <w:highlight w:val="none"/>
              </w:rPr>
              <w:t>要求条款</w:t>
            </w:r>
            <w:r>
              <w:rPr>
                <w:rFonts w:hint="eastAsia" w:eastAsia="宋体"/>
                <w:sz w:val="21"/>
                <w:szCs w:val="21"/>
                <w:highlight w:val="none"/>
              </w:rPr>
              <w:t>进行评审</w:t>
            </w:r>
            <w:r>
              <w:rPr>
                <w:rFonts w:hint="eastAsia"/>
                <w:sz w:val="21"/>
                <w:szCs w:val="21"/>
                <w:highlight w:val="none"/>
                <w:lang w:eastAsia="zh-CN"/>
              </w:rPr>
              <w:t>，</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eastAsia="宋体"/>
                <w:sz w:val="21"/>
                <w:szCs w:val="21"/>
                <w:highlight w:val="none"/>
              </w:rPr>
              <w:t>。</w:t>
            </w:r>
            <w:r>
              <w:rPr>
                <w:rFonts w:hint="eastAsia"/>
                <w:sz w:val="21"/>
                <w:szCs w:val="21"/>
                <w:highlight w:val="none"/>
                <w:lang w:val="en-US" w:eastAsia="zh-CN"/>
              </w:rPr>
              <w:t>每项1分。</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10</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w:t>
            </w:r>
            <w:r>
              <w:rPr>
                <w:rFonts w:hint="eastAsia"/>
                <w:sz w:val="21"/>
                <w:szCs w:val="21"/>
                <w:highlight w:val="none"/>
                <w:lang w:val="en-US" w:eastAsia="zh-CN"/>
              </w:rPr>
              <w:t>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w:t>
            </w:r>
            <w:r>
              <w:rPr>
                <w:rFonts w:hint="eastAsia"/>
                <w:sz w:val="21"/>
                <w:szCs w:val="21"/>
                <w:highlight w:val="none"/>
                <w:lang w:val="en-US" w:eastAsia="zh-CN"/>
              </w:rPr>
              <w:t>供应商</w:t>
            </w:r>
            <w:r>
              <w:rPr>
                <w:rFonts w:hint="eastAsia" w:eastAsia="宋体"/>
                <w:sz w:val="21"/>
                <w:szCs w:val="21"/>
                <w:highlight w:val="none"/>
              </w:rPr>
              <w:t>对</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w:t>
            </w:r>
            <w:r>
              <w:rPr>
                <w:rFonts w:hint="eastAsia" w:eastAsia="宋体"/>
                <w:sz w:val="21"/>
                <w:szCs w:val="21"/>
                <w:highlight w:val="none"/>
              </w:rPr>
              <w:t>进行评审</w:t>
            </w:r>
            <w:r>
              <w:rPr>
                <w:rFonts w:hint="eastAsia"/>
                <w:sz w:val="21"/>
                <w:szCs w:val="21"/>
                <w:highlight w:val="none"/>
                <w:lang w:eastAsia="zh-CN"/>
              </w:rPr>
              <w:t>，</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eastAsia="宋体"/>
                <w:sz w:val="21"/>
                <w:szCs w:val="21"/>
                <w:highlight w:val="none"/>
              </w:rPr>
              <w:t>。</w:t>
            </w:r>
            <w:r>
              <w:rPr>
                <w:rFonts w:hint="eastAsia"/>
                <w:sz w:val="21"/>
                <w:szCs w:val="21"/>
                <w:highlight w:val="none"/>
                <w:lang w:val="en-US" w:eastAsia="zh-CN"/>
              </w:rPr>
              <w:t>每项3分。</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18</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2</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pPr>
              <w:jc w:val="center"/>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bookmarkStart w:id="158" w:name="_GoBack"/>
            <w:bookmarkEnd w:id="158"/>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2588"/>
      <w:bookmarkStart w:id="28" w:name="_Toc17854"/>
      <w:bookmarkStart w:id="29" w:name="_Toc97049024"/>
      <w:bookmarkStart w:id="30" w:name="_Toc4600"/>
      <w:bookmarkStart w:id="31" w:name="_Toc19972"/>
      <w:bookmarkStart w:id="32" w:name="_Toc97048964"/>
      <w:bookmarkStart w:id="33" w:name="_Toc97048642"/>
      <w:bookmarkStart w:id="34" w:name="_Toc97049015"/>
      <w:bookmarkStart w:id="35" w:name="_Toc97049458"/>
      <w:bookmarkStart w:id="36" w:name="_Toc19293"/>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1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aps w:val="0"/>
                <w:color w:val="333333"/>
                <w:spacing w:val="0"/>
                <w:kern w:val="0"/>
                <w:sz w:val="24"/>
                <w:szCs w:val="24"/>
                <w:shd w:val="clear" w:fill="FFFFFF"/>
                <w:lang w:val="en-US" w:eastAsia="zh-CN" w:bidi="ar"/>
              </w:rPr>
              <w:t>血气分析仪</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bookmarkEnd w:id="41"/>
    <w:bookmarkEnd w:id="42"/>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需求参数</w:t>
      </w:r>
    </w:p>
    <w:p>
      <w:pPr>
        <w:tabs>
          <w:tab w:val="left" w:pos="426"/>
        </w:tabs>
        <w:spacing w:line="360" w:lineRule="auto"/>
        <w:ind w:firstLine="480" w:firstLineChars="200"/>
        <w:rPr>
          <w:rFonts w:hint="eastAsia" w:ascii="宋体" w:hAnsi="宋体" w:cs="宋体"/>
          <w:color w:val="000000"/>
          <w:sz w:val="24"/>
          <w:lang w:val="en-US" w:eastAsia="zh-CN"/>
        </w:rPr>
      </w:pPr>
      <w:bookmarkStart w:id="43" w:name="_Toc24364"/>
      <w:bookmarkStart w:id="44" w:name="_Toc22606"/>
      <w:bookmarkStart w:id="45" w:name="_Toc49938637"/>
      <w:r>
        <w:rPr>
          <w:rFonts w:hint="eastAsia" w:ascii="宋体" w:hAnsi="宋体" w:cs="宋体"/>
          <w:color w:val="000000"/>
          <w:sz w:val="24"/>
          <w:lang w:val="en-US" w:eastAsia="zh-CN"/>
        </w:rPr>
        <w:t>1</w:t>
      </w:r>
      <w:r>
        <w:rPr>
          <w:rFonts w:hint="eastAsia" w:ascii="宋体" w:hAnsi="宋体" w:cs="宋体"/>
          <w:color w:val="000000"/>
          <w:sz w:val="24"/>
          <w:lang w:val="en-US" w:eastAsia="zh-CN"/>
        </w:rPr>
        <w:t>.适用于床旁诊断和中心实验室的血气标本分析，进行血气、电解质、代谢物等同时测定的仪器，具备便携、准确、快速、精密度好、免维护免保养的特点。</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2.▲定量直接检测项目不少于9项:PH、PCO2、PO2、Na+、K+、Ca+、Glu、Lac、Hct。</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3.▲使用不可拆分的一体式、多人份分析包。电极卡、定标、进样针、质控溶液、参比液、溶血剂、废液盒密封于同一个分析包内，电极及管路系统免保养维护。</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4、无需另外购置/更换除分析包之外的电极、管路、吸样针、滤网等其他消耗品;吸样针内置于分析包内。</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5.测试项目及测试量根据分析包的不同可进行选择，无需升级仪器;且能提供 75、150、300、450、600等多种测试量的分析包。</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6.测试方法:电极法。</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7.进样方式:全自动进样模式，进样针模块内置于分析包内，无需手动调整进样角度。毛细采血管或安剖瓶进样时无需另接适配器。进样区安装有LED 照明灯，方便夜间进样操作。</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8.▲生物安全性:仪器本身无血样及试剂流通通道，从而尽可能保障操作人员的生物安全性。</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9.▲分析包、电极卡有效期≥180天，且所有消耗品(电极卡，试剂包，质控液)均可常温储存≥3个月。分析包、电极卡、废液袋等所有消耗品上机效期≥21天。</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10.▲具备内置的全自动质控系统:仪器自动执行质控程序且不消耗电极卡和试剂包测试人份数,显著节省科室费用。</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11.▲具有机内智能化质控系统:质控品集成在分析包内，以高频率主动进行实时、连续的质量控制，及时发现问题，自动识别错误并纠错，自动生成质控报告。</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12.测试时间:吸入样本后&lt;90 秒出结果。</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13.标本量&lt;150uL，标本类型可选择动脉血、静脉血、毛细血管血及其它溶液。</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14.可通过信息管理系统将全院各临床科室血气分析仪全部联网，并可通过电脑端、移动端、血气分析仪端远程访问进行统一的管理，实现操作人员、分析仪、数据的管理控制。</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15.仪器自带数据存信功能、可存储3000例以上的病人数据和质控数据，并带有标准CD刻录机，无限量地增加数据存储量。</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16:提供的配套仪器发生技障，中标人需派人2小时到现场处理,4小时维修好或者提供备用机的技术服务。</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lang w:val="en-US" w:eastAsia="zh-CN"/>
        </w:rPr>
      </w:pPr>
      <w:r>
        <w:rPr>
          <w:rFonts w:hint="eastAsia" w:ascii="宋体" w:hAnsi="宋体" w:cs="宋体"/>
          <w:b/>
          <w:sz w:val="28"/>
          <w:szCs w:val="28"/>
          <w:lang w:val="en-US" w:eastAsia="zh-CN"/>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w:t>
      </w:r>
      <w:r>
        <w:rPr>
          <w:rFonts w:hint="default" w:ascii="Times New Roman" w:hAnsi="Times New Roman" w:eastAsia="宋体" w:cs="Times New Roman"/>
          <w:color w:val="000000" w:themeColor="text1"/>
          <w:sz w:val="24"/>
          <w:szCs w:val="24"/>
          <w:highlight w:val="none"/>
          <w14:textFill>
            <w14:solidFill>
              <w14:schemeClr w14:val="tx1"/>
            </w14:solidFill>
          </w14:textFill>
        </w:rPr>
        <w:t>同之日起</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eastAsia" w:cs="Times New Roman"/>
          <w:color w:val="000000" w:themeColor="text1"/>
          <w:sz w:val="24"/>
          <w:szCs w:val="24"/>
          <w:highlight w:val="none"/>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none"/>
          <w14:textFill>
            <w14:solidFill>
              <w14:schemeClr w14:val="tx1"/>
            </w14:solidFill>
          </w14:textFill>
        </w:rPr>
        <w:t>天内交货</w:t>
      </w:r>
      <w:r>
        <w:rPr>
          <w:rFonts w:hint="default" w:ascii="Times New Roman" w:hAnsi="Times New Roman" w:eastAsia="宋体" w:cs="Times New Roman"/>
          <w:color w:val="000000" w:themeColor="text1"/>
          <w:sz w:val="24"/>
          <w:szCs w:val="24"/>
          <w14:textFill>
            <w14:solidFill>
              <w14:schemeClr w14:val="tx1"/>
            </w14:solidFill>
          </w14:textFill>
        </w:rPr>
        <w:t>、安装、调试并通过验收。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3.4终身</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w:t>
      </w:r>
      <w:r>
        <w:rPr>
          <w:rFonts w:hint="default" w:ascii="Times New Roman" w:hAnsi="Times New Roman" w:eastAsia="宋体" w:cs="Times New Roman"/>
          <w:color w:val="000000" w:themeColor="text1"/>
          <w:sz w:val="24"/>
          <w:szCs w:val="24"/>
          <w:highlight w:val="none"/>
          <w14:textFill>
            <w14:solidFill>
              <w14:schemeClr w14:val="tx1"/>
            </w14:solidFill>
          </w14:textFill>
        </w:rPr>
        <w:t>物齐全后</w:t>
      </w:r>
      <w:r>
        <w:rPr>
          <w:rFonts w:hint="default" w:ascii="Times New Roman" w:hAnsi="Times New Roman" w:eastAsia="宋体" w:cs="Times New Roman"/>
          <w:color w:val="000000" w:themeColor="text1"/>
          <w:sz w:val="24"/>
          <w:szCs w:val="24"/>
          <w:highlight w:val="none"/>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highlight w:val="none"/>
          <w14:textFill>
            <w14:solidFill>
              <w14:schemeClr w14:val="tx1"/>
            </w14:solidFill>
          </w14:textFill>
        </w:rPr>
        <w:t>内</w:t>
      </w:r>
      <w:r>
        <w:rPr>
          <w:rFonts w:hint="default" w:ascii="Times New Roman" w:hAnsi="Times New Roman" w:eastAsia="宋体" w:cs="Times New Roman"/>
          <w:color w:val="000000" w:themeColor="text1"/>
          <w:sz w:val="24"/>
          <w:szCs w:val="24"/>
          <w14:textFill>
            <w14:solidFill>
              <w14:schemeClr w14:val="tx1"/>
            </w14:solidFill>
          </w14:textFill>
        </w:rPr>
        <w:t>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设备保修</w:t>
      </w:r>
      <w:r>
        <w:rPr>
          <w:rFonts w:hint="eastAsia" w:ascii="宋体" w:hAnsi="宋体" w:eastAsia="宋体" w:cs="宋体"/>
          <w:color w:val="000000" w:themeColor="text1"/>
          <w:sz w:val="24"/>
          <w:highlight w:val="none"/>
          <w14:textFill>
            <w14:solidFill>
              <w14:schemeClr w14:val="tx1"/>
            </w14:solidFill>
          </w14:textFill>
        </w:rPr>
        <w:t>期</w:t>
      </w:r>
      <w:r>
        <w:rPr>
          <w:rFonts w:hint="eastAsia" w:ascii="宋体" w:hAnsi="宋体" w:cs="宋体"/>
          <w:color w:val="000000" w:themeColor="text1"/>
          <w:sz w:val="24"/>
          <w:highlight w:val="none"/>
          <w:lang w:eastAsia="zh-CN"/>
          <w14:textFill>
            <w14:solidFill>
              <w14:schemeClr w14:val="tx1"/>
            </w14:solidFill>
          </w14:textFill>
        </w:rPr>
        <w:t>为</w:t>
      </w:r>
      <w:r>
        <w:rPr>
          <w:rFonts w:hint="eastAsia" w:ascii="宋体" w:hAnsi="宋体" w:eastAsia="宋体" w:cs="宋体"/>
          <w:color w:val="000000" w:themeColor="text1"/>
          <w:sz w:val="24"/>
          <w:highlight w:val="none"/>
          <w14:textFill>
            <w14:solidFill>
              <w14:schemeClr w14:val="tx1"/>
            </w14:solidFill>
          </w14:textFill>
        </w:rPr>
        <w:t>终身维保（</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w:t>
      </w:r>
      <w:r>
        <w:rPr>
          <w:rFonts w:hint="default" w:ascii="Times New Roman" w:hAnsi="Times New Roman" w:eastAsia="宋体" w:cs="Times New Roman"/>
          <w:color w:val="000000" w:themeColor="text1"/>
          <w:sz w:val="24"/>
          <w:szCs w:val="24"/>
          <w:highlight w:val="none"/>
          <w14:textFill>
            <w14:solidFill>
              <w14:schemeClr w14:val="tx1"/>
            </w14:solidFill>
          </w14:textFill>
        </w:rPr>
        <w:t>通知后</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小时内响应，</w:t>
      </w:r>
      <w:r>
        <w:rPr>
          <w:rFonts w:hint="eastAsia" w:cs="Times New Roman"/>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小时内到达现场，48小时内处</w:t>
      </w:r>
      <w:r>
        <w:rPr>
          <w:rFonts w:hint="default" w:ascii="Times New Roman" w:hAnsi="Times New Roman" w:eastAsia="宋体" w:cs="Times New Roman"/>
          <w:color w:val="000000" w:themeColor="text1"/>
          <w:sz w:val="24"/>
          <w:szCs w:val="24"/>
          <w14:textFill>
            <w14:solidFill>
              <w14:schemeClr w14:val="tx1"/>
            </w14:solidFill>
          </w14:textFill>
        </w:rPr>
        <w:t>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highlight w:val="none"/>
        </w:rPr>
      </w:pPr>
      <w:bookmarkStart w:id="48" w:name="_Toc10033"/>
      <w:bookmarkStart w:id="49" w:name="_Toc97042591"/>
      <w:bookmarkStart w:id="50" w:name="_Toc97049461"/>
      <w:bookmarkStart w:id="51" w:name="_Toc97048645"/>
      <w:bookmarkStart w:id="52" w:name="_Toc97049016"/>
      <w:bookmarkStart w:id="53" w:name="_Toc97048967"/>
      <w:bookmarkStart w:id="54" w:name="_Toc9145"/>
      <w:bookmarkStart w:id="55" w:name="_Toc97049027"/>
      <w:r>
        <w:rPr>
          <w:rFonts w:hint="default" w:ascii="Times New Roman" w:hAnsi="Times New Roman" w:eastAsia="宋体" w:cs="Times New Roman"/>
          <w:bCs/>
          <w:color w:val="000000" w:themeColor="text1"/>
          <w:sz w:val="24"/>
          <w:szCs w:val="24"/>
          <w:highlight w:val="none"/>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highlight w:val="none"/>
          <w14:textFill>
            <w14:solidFill>
              <w14:schemeClr w14:val="tx1"/>
            </w14:solidFill>
          </w14:textFill>
        </w:rPr>
        <w:t>后</w:t>
      </w:r>
      <w:r>
        <w:rPr>
          <w:rFonts w:hint="default"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none"/>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none"/>
          <w14:textFill>
            <w14:solidFill>
              <w14:schemeClr w14:val="tx1"/>
            </w14:solidFill>
          </w14:textFill>
        </w:rPr>
        <w:t>日内一次付清货款。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4689"/>
            <w:bookmarkStart w:id="64" w:name="_Toc16667"/>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2697"/>
            <w:bookmarkStart w:id="70" w:name="_Toc15"/>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7613"/>
            <w:bookmarkStart w:id="74" w:name="_Toc5040"/>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7331"/>
      <w:bookmarkStart w:id="83" w:name="_Toc76354927"/>
      <w:bookmarkStart w:id="84" w:name="_Toc50736479"/>
      <w:bookmarkStart w:id="85" w:name="_Toc50736473"/>
      <w:bookmarkStart w:id="86" w:name="_Toc76354921"/>
      <w:bookmarkStart w:id="87" w:name="_Toc50737299"/>
      <w:bookmarkStart w:id="88" w:name="_Toc50691028"/>
      <w:bookmarkStart w:id="89" w:name="_Toc52165083"/>
      <w:bookmarkStart w:id="90" w:name="_Toc50737325"/>
      <w:bookmarkStart w:id="91" w:name="_Toc50737293"/>
      <w:bookmarkStart w:id="92" w:name="_Toc50691040"/>
      <w:bookmarkStart w:id="93" w:name="_Toc52165077"/>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43264516"/>
      <w:bookmarkStart w:id="98" w:name="_Toc50703722"/>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76354925"/>
      <w:bookmarkStart w:id="106" w:name="_Toc50737329"/>
      <w:bookmarkStart w:id="107" w:name="_Toc52165081"/>
      <w:bookmarkStart w:id="108" w:name="_Toc50737297"/>
      <w:bookmarkStart w:id="109" w:name="_Toc5073647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691030"/>
      <w:bookmarkStart w:id="120" w:name="_Toc50737294"/>
      <w:bookmarkStart w:id="121" w:name="_Toc76354922"/>
      <w:bookmarkStart w:id="122" w:name="_Toc52165078"/>
      <w:bookmarkStart w:id="123" w:name="_Toc50736474"/>
      <w:bookmarkStart w:id="124" w:name="_Toc50737326"/>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559"/>
      <w:bookmarkStart w:id="149" w:name="_Toc4321"/>
      <w:bookmarkStart w:id="150" w:name="_Toc32022"/>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1FB0E5A"/>
    <w:rsid w:val="03020999"/>
    <w:rsid w:val="032D2574"/>
    <w:rsid w:val="037E765A"/>
    <w:rsid w:val="03D13FA8"/>
    <w:rsid w:val="0452583E"/>
    <w:rsid w:val="04A76C1E"/>
    <w:rsid w:val="04F7259F"/>
    <w:rsid w:val="053E00D1"/>
    <w:rsid w:val="05F33285"/>
    <w:rsid w:val="05F52BEC"/>
    <w:rsid w:val="06100049"/>
    <w:rsid w:val="06597B57"/>
    <w:rsid w:val="065C5C06"/>
    <w:rsid w:val="070D3B19"/>
    <w:rsid w:val="072C09F5"/>
    <w:rsid w:val="07982E85"/>
    <w:rsid w:val="07AC4190"/>
    <w:rsid w:val="083F0116"/>
    <w:rsid w:val="088436B8"/>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5815F74"/>
    <w:rsid w:val="1624246E"/>
    <w:rsid w:val="16684B95"/>
    <w:rsid w:val="17653E0D"/>
    <w:rsid w:val="17AD2E14"/>
    <w:rsid w:val="18263782"/>
    <w:rsid w:val="18756B2F"/>
    <w:rsid w:val="1890511D"/>
    <w:rsid w:val="18F2402A"/>
    <w:rsid w:val="18FA6A3B"/>
    <w:rsid w:val="196B3502"/>
    <w:rsid w:val="1A051DA2"/>
    <w:rsid w:val="1A2205A8"/>
    <w:rsid w:val="1AD90023"/>
    <w:rsid w:val="1AF31119"/>
    <w:rsid w:val="1B1C66AA"/>
    <w:rsid w:val="1B350424"/>
    <w:rsid w:val="1BCD48DA"/>
    <w:rsid w:val="1BE35515"/>
    <w:rsid w:val="1C2F27CB"/>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1517B2"/>
    <w:rsid w:val="3A2C2A74"/>
    <w:rsid w:val="3A82321E"/>
    <w:rsid w:val="3AFC3F77"/>
    <w:rsid w:val="3B2C184B"/>
    <w:rsid w:val="3B4E4C80"/>
    <w:rsid w:val="3B6B5C48"/>
    <w:rsid w:val="3B7364AD"/>
    <w:rsid w:val="3BD027B8"/>
    <w:rsid w:val="3C415BC0"/>
    <w:rsid w:val="3F9A4950"/>
    <w:rsid w:val="40C83C56"/>
    <w:rsid w:val="40E11AEF"/>
    <w:rsid w:val="41594397"/>
    <w:rsid w:val="417A6AA4"/>
    <w:rsid w:val="41B15FCC"/>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500BDD"/>
    <w:rsid w:val="4B7940A7"/>
    <w:rsid w:val="4BD240F5"/>
    <w:rsid w:val="4BE44913"/>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28021E8"/>
    <w:rsid w:val="5369210C"/>
    <w:rsid w:val="53BC1F7E"/>
    <w:rsid w:val="53D53D51"/>
    <w:rsid w:val="53FC1A46"/>
    <w:rsid w:val="54164A93"/>
    <w:rsid w:val="55827B4E"/>
    <w:rsid w:val="55A34B17"/>
    <w:rsid w:val="55CF594D"/>
    <w:rsid w:val="55D80A52"/>
    <w:rsid w:val="565C2E3A"/>
    <w:rsid w:val="5677455F"/>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EA84474"/>
    <w:rsid w:val="5F0E45BB"/>
    <w:rsid w:val="5F5B7526"/>
    <w:rsid w:val="620F6680"/>
    <w:rsid w:val="62CB3FED"/>
    <w:rsid w:val="62D12359"/>
    <w:rsid w:val="63011964"/>
    <w:rsid w:val="6345552A"/>
    <w:rsid w:val="63A11C23"/>
    <w:rsid w:val="63CF256B"/>
    <w:rsid w:val="649317EA"/>
    <w:rsid w:val="64D92461"/>
    <w:rsid w:val="6511614D"/>
    <w:rsid w:val="652069DD"/>
    <w:rsid w:val="65222250"/>
    <w:rsid w:val="65535C1D"/>
    <w:rsid w:val="65A142CB"/>
    <w:rsid w:val="6638544E"/>
    <w:rsid w:val="6767452A"/>
    <w:rsid w:val="67875FB3"/>
    <w:rsid w:val="67955879"/>
    <w:rsid w:val="67CE7AFB"/>
    <w:rsid w:val="67DB7004"/>
    <w:rsid w:val="67F72BEE"/>
    <w:rsid w:val="684E5962"/>
    <w:rsid w:val="68624656"/>
    <w:rsid w:val="68BC0BE4"/>
    <w:rsid w:val="69E005FB"/>
    <w:rsid w:val="6A242D6D"/>
    <w:rsid w:val="6B0A1A3F"/>
    <w:rsid w:val="6C284FC6"/>
    <w:rsid w:val="6C5228BF"/>
    <w:rsid w:val="6CD30E0D"/>
    <w:rsid w:val="6CE32BE3"/>
    <w:rsid w:val="6D125276"/>
    <w:rsid w:val="6D3F6242"/>
    <w:rsid w:val="6D967D3F"/>
    <w:rsid w:val="6D9B2DBF"/>
    <w:rsid w:val="6DAF5F22"/>
    <w:rsid w:val="6DF1338D"/>
    <w:rsid w:val="6EDA7302"/>
    <w:rsid w:val="6F871F4B"/>
    <w:rsid w:val="6FB27795"/>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5E1256"/>
    <w:rsid w:val="7CA10CEE"/>
    <w:rsid w:val="7CB41EA6"/>
    <w:rsid w:val="7DD746E1"/>
    <w:rsid w:val="7E2748F9"/>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 w:type="character" w:customStyle="1" w:styleId="171">
    <w:name w:val="font31"/>
    <w:basedOn w:val="35"/>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11020</Words>
  <Characters>11514</Characters>
  <Lines>144</Lines>
  <Paragraphs>40</Paragraphs>
  <TotalTime>1</TotalTime>
  <ScaleCrop>false</ScaleCrop>
  <LinksUpToDate>false</LinksUpToDate>
  <CharactersWithSpaces>11761</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2025-03-25T02:26:34Z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AE2B082702F9439781CAA1AD045370EB_13</vt:lpwstr>
  </property>
  <property fmtid="{D5CDD505-2E9C-101B-9397-08002B2CF9AE}" pid="4" name="KSOTemplateDocerSaveRecord">
    <vt:lpwstr>eyJoZGlkIjoiOWRkNzZlNmM2YjgwOTU0MmMwNGYxMDc3YjU0NGU5ZmYiLCJ1c2VySWQiOiIzNjY4NzMyNjQifQ==</vt:lpwstr>
  </property>
</Properties>
</file>