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纤维支气管镜采购项目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2025年3</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97048637"/>
      <w:bookmarkStart w:id="2" w:name="_Toc97042583"/>
      <w:bookmarkStart w:id="3" w:name="_Toc97049453"/>
      <w:bookmarkStart w:id="4" w:name="_Toc5414"/>
      <w:bookmarkStart w:id="5" w:name="_Toc22955"/>
      <w:bookmarkStart w:id="6" w:name="_Toc23897"/>
      <w:bookmarkStart w:id="7" w:name="_Toc97049014"/>
      <w:bookmarkStart w:id="8" w:name="_Toc14383"/>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是指纤维支气管镜采购项目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2.5</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15</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11</w:t>
            </w:r>
            <w:bookmarkStart w:id="158" w:name="_GoBack"/>
            <w:bookmarkEnd w:id="158"/>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0.5分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964"/>
      <w:bookmarkStart w:id="28" w:name="_Toc4600"/>
      <w:bookmarkStart w:id="29" w:name="_Toc97049458"/>
      <w:bookmarkStart w:id="30" w:name="_Toc19972"/>
      <w:bookmarkStart w:id="31" w:name="_Toc17854"/>
      <w:bookmarkStart w:id="32" w:name="_Toc97049015"/>
      <w:bookmarkStart w:id="33" w:name="_Toc97042588"/>
      <w:bookmarkStart w:id="34" w:name="_Toc19293"/>
      <w:bookmarkStart w:id="35" w:name="_Toc97049024"/>
      <w:bookmarkStart w:id="36" w:name="_Toc9704864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纤维支气管镜</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43" w:name="_Toc22606"/>
      <w:bookmarkStart w:id="44" w:name="_Toc24364"/>
      <w:bookmarkStart w:id="45" w:name="_Toc49938637"/>
      <w:r>
        <w:rPr>
          <w:rFonts w:hint="eastAsia" w:ascii="宋体" w:hAnsi="宋体" w:cs="宋体"/>
          <w:sz w:val="24"/>
          <w:szCs w:val="24"/>
          <w:lang w:val="en-US" w:eastAsia="zh-CN"/>
        </w:rPr>
        <w:t>1</w:t>
      </w:r>
      <w:r>
        <w:rPr>
          <w:rFonts w:hint="eastAsia" w:ascii="宋体" w:hAnsi="宋体" w:eastAsia="宋体" w:cs="宋体"/>
          <w:sz w:val="24"/>
          <w:szCs w:val="24"/>
        </w:rPr>
        <w:t>供气管和支气管观察、诊断摄影、治疗用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default" w:ascii="Times New Roman" w:hAnsi="Times New Roman" w:cs="Times New Roman"/>
          <w:bCs/>
          <w:sz w:val="24"/>
        </w:rPr>
        <w:t>▲</w:t>
      </w:r>
      <w:r>
        <w:rPr>
          <w:rFonts w:hint="eastAsia" w:ascii="宋体" w:hAnsi="宋体" w:cs="宋体"/>
          <w:sz w:val="24"/>
          <w:szCs w:val="24"/>
          <w:lang w:val="en-US" w:eastAsia="zh-CN"/>
        </w:rPr>
        <w:t>2</w:t>
      </w:r>
      <w:r>
        <w:rPr>
          <w:rFonts w:hint="eastAsia" w:ascii="宋体" w:hAnsi="宋体" w:eastAsia="宋体" w:cs="宋体"/>
          <w:sz w:val="24"/>
          <w:szCs w:val="24"/>
        </w:rPr>
        <w:t>视场角≥100°；景深≥100mm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default" w:ascii="Times New Roman" w:hAnsi="Times New Roman" w:cs="Times New Roman"/>
          <w:bCs/>
          <w:sz w:val="24"/>
        </w:rPr>
        <w:t>▲</w:t>
      </w:r>
      <w:r>
        <w:rPr>
          <w:rFonts w:hint="eastAsia" w:ascii="宋体" w:hAnsi="宋体" w:cs="宋体"/>
          <w:sz w:val="24"/>
          <w:szCs w:val="24"/>
          <w:lang w:val="en-US" w:eastAsia="zh-CN"/>
        </w:rPr>
        <w:t>3</w:t>
      </w:r>
      <w:r>
        <w:rPr>
          <w:rFonts w:hint="eastAsia" w:ascii="宋体" w:hAnsi="宋体" w:eastAsia="宋体" w:cs="宋体"/>
          <w:sz w:val="24"/>
          <w:szCs w:val="24"/>
        </w:rPr>
        <w:t>镜体最大插入部外径≤5mm、工作通道≥2.4mm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default" w:ascii="Times New Roman" w:hAnsi="Times New Roman" w:cs="Times New Roman"/>
          <w:bCs/>
          <w:sz w:val="24"/>
        </w:rPr>
        <w:t>▲</w:t>
      </w:r>
      <w:r>
        <w:rPr>
          <w:rFonts w:hint="eastAsia" w:ascii="宋体" w:hAnsi="宋体" w:cs="宋体"/>
          <w:sz w:val="24"/>
          <w:szCs w:val="24"/>
          <w:lang w:val="en-US" w:eastAsia="zh-CN"/>
        </w:rPr>
        <w:t>4</w:t>
      </w:r>
      <w:r>
        <w:rPr>
          <w:rFonts w:hint="eastAsia" w:ascii="宋体" w:hAnsi="宋体" w:eastAsia="宋体" w:cs="宋体"/>
          <w:sz w:val="24"/>
          <w:szCs w:val="24"/>
        </w:rPr>
        <w:t>工作</w:t>
      </w:r>
      <w:r>
        <w:rPr>
          <w:rFonts w:hint="eastAsia" w:ascii="宋体" w:hAnsi="宋体" w:cs="宋体"/>
          <w:sz w:val="24"/>
          <w:szCs w:val="24"/>
          <w:lang w:eastAsia="zh-CN"/>
        </w:rPr>
        <w:t>软管有效</w:t>
      </w:r>
      <w:r>
        <w:rPr>
          <w:rFonts w:hint="eastAsia" w:ascii="宋体" w:hAnsi="宋体" w:eastAsia="宋体" w:cs="宋体"/>
          <w:sz w:val="24"/>
          <w:szCs w:val="24"/>
        </w:rPr>
        <w:t>长度≥600mm；弯曲角度向上≥160°，向下≥130°</w:t>
      </w:r>
      <w:r>
        <w:rPr>
          <w:rFonts w:hint="eastAsia" w:ascii="宋体" w:hAnsi="宋体" w:cs="宋体"/>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5具备可拆卸的吸引按键，经消毒灭菌后可重复使用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内置LED光源，</w:t>
      </w:r>
      <w:r>
        <w:rPr>
          <w:rFonts w:hint="eastAsia" w:ascii="宋体" w:hAnsi="宋体" w:cs="宋体"/>
          <w:sz w:val="24"/>
          <w:szCs w:val="24"/>
          <w:lang w:eastAsia="zh-CN"/>
        </w:rPr>
        <w:t>全密封防水设计，</w:t>
      </w:r>
      <w:r>
        <w:rPr>
          <w:rFonts w:hint="eastAsia" w:ascii="宋体" w:hAnsi="宋体" w:eastAsia="宋体" w:cs="宋体"/>
          <w:sz w:val="24"/>
          <w:szCs w:val="24"/>
        </w:rPr>
        <w:t>光照度≥</w:t>
      </w:r>
      <w:r>
        <w:rPr>
          <w:rFonts w:hint="eastAsia" w:ascii="宋体" w:hAnsi="宋体" w:cs="宋体"/>
          <w:sz w:val="24"/>
          <w:szCs w:val="24"/>
          <w:lang w:val="en-US" w:eastAsia="zh-CN"/>
        </w:rPr>
        <w:t>6</w:t>
      </w:r>
      <w:r>
        <w:rPr>
          <w:rFonts w:hint="eastAsia" w:ascii="宋体" w:hAnsi="宋体" w:eastAsia="宋体" w:cs="宋体"/>
          <w:sz w:val="24"/>
          <w:szCs w:val="24"/>
        </w:rPr>
        <w:t>00Lux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具有拍照、录像、回放、图像冻结、缩放功能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8具备防雾功能，</w:t>
      </w:r>
      <w:r>
        <w:rPr>
          <w:rFonts w:hint="eastAsia" w:ascii="宋体" w:hAnsi="宋体" w:eastAsia="宋体" w:cs="宋体"/>
          <w:sz w:val="24"/>
          <w:szCs w:val="24"/>
        </w:rPr>
        <w:t>内窥镜支持热拔插功能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可进行全</w:t>
      </w:r>
      <w:r>
        <w:rPr>
          <w:rFonts w:hint="eastAsia" w:ascii="宋体" w:hAnsi="宋体" w:cs="宋体"/>
          <w:sz w:val="24"/>
          <w:szCs w:val="24"/>
          <w:lang w:eastAsia="zh-CN"/>
        </w:rPr>
        <w:t>镜体</w:t>
      </w:r>
      <w:r>
        <w:rPr>
          <w:rFonts w:hint="eastAsia" w:ascii="宋体" w:hAnsi="宋体" w:eastAsia="宋体" w:cs="宋体"/>
          <w:sz w:val="24"/>
          <w:szCs w:val="24"/>
        </w:rPr>
        <w:t>浸泡消毒；可耐受低温等离子、环氧乙烷等灭菌方式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Times New Roman" w:hAnsi="Times New Roman" w:cs="Times New Roman"/>
          <w:bCs/>
          <w:sz w:val="24"/>
        </w:rPr>
        <w:t>▲</w:t>
      </w:r>
      <w:r>
        <w:rPr>
          <w:rFonts w:hint="eastAsia" w:ascii="宋体" w:hAnsi="宋体" w:cs="宋体"/>
          <w:sz w:val="24"/>
          <w:szCs w:val="24"/>
          <w:lang w:val="en-US" w:eastAsia="zh-CN"/>
        </w:rPr>
        <w:t>10</w:t>
      </w:r>
      <w:r>
        <w:rPr>
          <w:rFonts w:hint="eastAsia" w:ascii="宋体" w:hAnsi="宋体" w:eastAsia="宋体" w:cs="宋体"/>
          <w:sz w:val="24"/>
          <w:szCs w:val="24"/>
        </w:rPr>
        <w:t>标配图像处理器，</w:t>
      </w:r>
      <w:r>
        <w:rPr>
          <w:rFonts w:hint="eastAsia" w:ascii="宋体" w:hAnsi="宋体" w:cs="宋体"/>
          <w:sz w:val="24"/>
          <w:szCs w:val="24"/>
          <w:lang w:eastAsia="zh-CN"/>
        </w:rPr>
        <w:t>医用监视</w:t>
      </w:r>
      <w:r>
        <w:rPr>
          <w:rFonts w:hint="eastAsia" w:ascii="宋体" w:hAnsi="宋体" w:eastAsia="宋体" w:cs="宋体"/>
          <w:sz w:val="24"/>
          <w:szCs w:val="24"/>
        </w:rPr>
        <w:t>器≥10寸、分辨率≥1280*800</w:t>
      </w:r>
      <w:r>
        <w:rPr>
          <w:rFonts w:hint="eastAsia" w:ascii="宋体" w:hAnsi="宋体" w:cs="宋体"/>
          <w:sz w:val="24"/>
          <w:szCs w:val="24"/>
          <w:lang w:eastAsia="zh-CN"/>
        </w:rPr>
        <w:t>，可调节上</w:t>
      </w:r>
      <w:r>
        <w:rPr>
          <w:rFonts w:hint="eastAsia" w:ascii="宋体" w:hAnsi="宋体" w:cs="宋体"/>
          <w:sz w:val="24"/>
          <w:szCs w:val="24"/>
          <w:lang w:val="en-US" w:eastAsia="zh-CN"/>
        </w:rPr>
        <w:t>/下监视器角度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标配≥3.5寸非触摸便携显示器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default" w:ascii="Times New Roman" w:hAnsi="Times New Roman" w:cs="Times New Roman"/>
          <w:bCs/>
          <w:sz w:val="24"/>
        </w:rPr>
        <w:t>▲</w:t>
      </w:r>
      <w:r>
        <w:rPr>
          <w:rFonts w:hint="eastAsia" w:ascii="宋体" w:hAnsi="宋体" w:cs="宋体"/>
          <w:sz w:val="24"/>
          <w:szCs w:val="24"/>
          <w:lang w:val="en-US" w:eastAsia="zh-CN"/>
        </w:rPr>
        <w:t>12可充电</w:t>
      </w:r>
      <w:r>
        <w:rPr>
          <w:rFonts w:hint="eastAsia" w:ascii="宋体" w:hAnsi="宋体" w:eastAsia="宋体" w:cs="宋体"/>
          <w:sz w:val="24"/>
          <w:szCs w:val="24"/>
        </w:rPr>
        <w:t>电池容量≥2000mAH，工作时间≥120分钟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内置多媒体系统，可实现数据导出；内存≥32G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具备蓝牙连接功能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配备</w:t>
      </w:r>
      <w:r>
        <w:rPr>
          <w:rFonts w:hint="eastAsia" w:ascii="宋体" w:hAnsi="宋体" w:cs="宋体"/>
          <w:sz w:val="24"/>
          <w:szCs w:val="24"/>
          <w:lang w:eastAsia="zh-CN"/>
        </w:rPr>
        <w:t>专用</w:t>
      </w:r>
      <w:r>
        <w:rPr>
          <w:rFonts w:hint="eastAsia" w:ascii="宋体" w:hAnsi="宋体" w:eastAsia="宋体" w:cs="宋体"/>
          <w:sz w:val="24"/>
          <w:szCs w:val="24"/>
        </w:rPr>
        <w:t>可移动台车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提供电子内窥镜图像处理器软件系统免费升级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default" w:ascii="Times New Roman" w:hAnsi="Times New Roman" w:cs="Times New Roman"/>
          <w:bCs/>
          <w:sz w:val="24"/>
        </w:rPr>
        <w:t>▲</w:t>
      </w:r>
      <w:r>
        <w:rPr>
          <w:rFonts w:hint="eastAsia" w:ascii="宋体" w:hAnsi="宋体" w:cs="宋体"/>
          <w:sz w:val="24"/>
          <w:szCs w:val="24"/>
          <w:lang w:val="en-US" w:eastAsia="zh-CN"/>
        </w:rPr>
        <w:t>17吸引量≥500ml/min</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27"/>
      <w:bookmarkStart w:id="49" w:name="_Toc97049461"/>
      <w:bookmarkStart w:id="50" w:name="_Toc9145"/>
      <w:bookmarkStart w:id="51" w:name="_Toc97042591"/>
      <w:bookmarkStart w:id="52" w:name="_Toc97048967"/>
      <w:bookmarkStart w:id="53" w:name="_Toc10033"/>
      <w:bookmarkStart w:id="54" w:name="_Toc97049016"/>
      <w:bookmarkStart w:id="55" w:name="_Toc970486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2165077"/>
      <w:bookmarkStart w:id="83" w:name="_Toc50737325"/>
      <w:bookmarkStart w:id="84" w:name="_Toc50737299"/>
      <w:bookmarkStart w:id="85" w:name="_Toc50736479"/>
      <w:bookmarkStart w:id="86" w:name="_Toc50737293"/>
      <w:bookmarkStart w:id="87" w:name="_Toc50691028"/>
      <w:bookmarkStart w:id="88" w:name="_Toc50691040"/>
      <w:bookmarkStart w:id="89" w:name="_Toc50737331"/>
      <w:bookmarkStart w:id="90" w:name="_Toc52165083"/>
      <w:bookmarkStart w:id="91" w:name="_Toc76354927"/>
      <w:bookmarkStart w:id="92" w:name="_Toc50736473"/>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7329"/>
      <w:bookmarkStart w:id="107" w:name="_Toc50737297"/>
      <w:bookmarkStart w:id="108" w:name="_Toc50736477"/>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2165078"/>
      <w:bookmarkStart w:id="120" w:name="_Toc50737326"/>
      <w:bookmarkStart w:id="121" w:name="_Toc50736474"/>
      <w:bookmarkStart w:id="122" w:name="_Toc50737294"/>
      <w:bookmarkStart w:id="123" w:name="_Toc50691030"/>
      <w:bookmarkStart w:id="124" w:name="_Toc76354922"/>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559"/>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13680E"/>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4CC34B6"/>
    <w:rsid w:val="352218CB"/>
    <w:rsid w:val="35914F53"/>
    <w:rsid w:val="36D84407"/>
    <w:rsid w:val="37193F4D"/>
    <w:rsid w:val="37754915"/>
    <w:rsid w:val="377876AB"/>
    <w:rsid w:val="37961418"/>
    <w:rsid w:val="388C0305"/>
    <w:rsid w:val="390662FA"/>
    <w:rsid w:val="3976741E"/>
    <w:rsid w:val="39A16D33"/>
    <w:rsid w:val="39B72494"/>
    <w:rsid w:val="3A2C2A74"/>
    <w:rsid w:val="3A82321E"/>
    <w:rsid w:val="3A8F58EB"/>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C57F61"/>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5A5250"/>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2025-03-07T10:06:29Z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