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6"/>
          <w:szCs w:val="36"/>
          <w:u w:val="none"/>
          <w:lang w:val="en-US" w:eastAsia="zh-CN"/>
        </w:rPr>
      </w:pPr>
      <w:r>
        <w:rPr>
          <w:rFonts w:hint="eastAsia" w:ascii="宋体" w:hAnsi="宋体" w:cs="宋体"/>
          <w:b/>
          <w:bCs/>
          <w:sz w:val="36"/>
          <w:szCs w:val="36"/>
        </w:rPr>
        <w:t>中山大学附属第六医院</w:t>
      </w:r>
      <w:r>
        <w:rPr>
          <w:rFonts w:hint="eastAsia" w:ascii="宋体" w:hAnsi="宋体" w:cs="宋体"/>
          <w:b/>
          <w:bCs/>
          <w:sz w:val="36"/>
          <w:szCs w:val="36"/>
          <w:lang w:eastAsia="zh-CN"/>
        </w:rPr>
        <w:t>粤西医院</w:t>
      </w:r>
      <w:r>
        <w:rPr>
          <w:rFonts w:hint="eastAsia" w:ascii="宋体" w:hAnsi="宋体" w:cs="宋体"/>
          <w:b/>
          <w:bCs/>
          <w:sz w:val="36"/>
          <w:szCs w:val="36"/>
          <w:lang w:val="en-US" w:eastAsia="zh-CN"/>
        </w:rPr>
        <w:t>/</w:t>
      </w:r>
      <w:r>
        <w:rPr>
          <w:rFonts w:hint="eastAsia" w:ascii="宋体" w:hAnsi="宋体" w:cs="宋体"/>
          <w:b/>
          <w:bCs/>
          <w:sz w:val="36"/>
          <w:szCs w:val="36"/>
          <w:u w:val="none"/>
          <w:lang w:val="en-US" w:eastAsia="zh-CN"/>
        </w:rPr>
        <w:t>信宜市人民医院</w:t>
      </w:r>
    </w:p>
    <w:p>
      <w:pPr>
        <w:spacing w:line="360" w:lineRule="auto"/>
        <w:ind w:right="-420" w:rightChars="-200"/>
        <w:jc w:val="center"/>
        <w:rPr>
          <w:rFonts w:hint="eastAsia" w:ascii="宋体" w:hAnsi="宋体" w:cs="宋体"/>
          <w:b/>
          <w:bCs/>
          <w:sz w:val="36"/>
          <w:szCs w:val="36"/>
          <w:u w:val="none"/>
          <w:lang w:val="en-US" w:eastAsia="zh-CN"/>
        </w:rPr>
      </w:pPr>
      <w:r>
        <w:rPr>
          <w:rFonts w:hint="eastAsia" w:ascii="宋体" w:hAnsi="宋体" w:cs="宋体"/>
          <w:b/>
          <w:bCs/>
          <w:sz w:val="36"/>
          <w:szCs w:val="36"/>
          <w:u w:val="none"/>
          <w:lang w:val="en-US" w:eastAsia="zh-CN"/>
        </w:rPr>
        <w:t>数字病理切片扫描仪采购项目</w:t>
      </w:r>
    </w:p>
    <w:p>
      <w:pPr>
        <w:spacing w:line="360" w:lineRule="auto"/>
        <w:ind w:right="-420" w:rightChars="-200"/>
        <w:jc w:val="center"/>
        <w:rPr>
          <w:rFonts w:hint="eastAsia" w:ascii="宋体" w:hAnsi="宋体" w:eastAsia="宋体" w:cs="宋体"/>
          <w:b/>
          <w:bCs/>
          <w:sz w:val="36"/>
          <w:szCs w:val="36"/>
          <w:lang w:eastAsia="zh-CN"/>
        </w:rPr>
      </w:pPr>
      <w:r>
        <w:rPr>
          <w:rFonts w:hint="eastAsia" w:ascii="宋体" w:hAnsi="宋体" w:cs="宋体"/>
          <w:b/>
          <w:bCs/>
          <w:sz w:val="36"/>
          <w:szCs w:val="36"/>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2025年1</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8959"/>
      <w:bookmarkStart w:id="1" w:name="_Toc97042583"/>
      <w:bookmarkStart w:id="2" w:name="_Toc97049014"/>
      <w:bookmarkStart w:id="3" w:name="_Toc14383"/>
      <w:bookmarkStart w:id="4" w:name="_Toc97049019"/>
      <w:bookmarkStart w:id="5" w:name="_Toc97048637"/>
      <w:bookmarkStart w:id="6" w:name="_Toc23897"/>
      <w:bookmarkStart w:id="7" w:name="_Toc5414"/>
      <w:bookmarkStart w:id="8" w:name="_Toc22955"/>
      <w:bookmarkStart w:id="9" w:name="_Toc97049453"/>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是指数字病理切片扫描仪采购项目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w:t>
            </w:r>
            <w:r>
              <w:rPr>
                <w:rFonts w:hint="eastAsia"/>
                <w:szCs w:val="21"/>
                <w:highlight w:val="none"/>
                <w:lang w:val="en-US" w:eastAsia="zh-CN" w:bidi="ar"/>
              </w:rPr>
              <w:t>授权得2分，</w:t>
            </w:r>
            <w:r>
              <w:rPr>
                <w:rFonts w:hint="eastAsia"/>
                <w:szCs w:val="21"/>
                <w:highlight w:val="none"/>
                <w:lang w:eastAsia="zh-CN" w:bidi="ar"/>
              </w:rPr>
              <w:t>最高得</w:t>
            </w:r>
            <w:r>
              <w:rPr>
                <w:rFonts w:hint="eastAsia"/>
                <w:szCs w:val="21"/>
                <w:highlight w:val="none"/>
                <w:lang w:val="en-US" w:eastAsia="zh-CN" w:bidi="ar"/>
              </w:rPr>
              <w:t>5分。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4</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5</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得1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22</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7</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9</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10</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4</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11</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015"/>
      <w:bookmarkStart w:id="28" w:name="_Toc97049458"/>
      <w:bookmarkStart w:id="29" w:name="_Toc97048964"/>
      <w:bookmarkStart w:id="30" w:name="_Toc19293"/>
      <w:bookmarkStart w:id="31" w:name="_Toc97048642"/>
      <w:bookmarkStart w:id="32" w:name="_Toc17854"/>
      <w:bookmarkStart w:id="33" w:name="_Toc4600"/>
      <w:bookmarkStart w:id="34" w:name="_Toc97049024"/>
      <w:bookmarkStart w:id="35" w:name="_Toc97042588"/>
      <w:bookmarkStart w:id="36" w:name="_Toc1997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数字病理切片扫描仪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tabs>
          <w:tab w:val="left" w:pos="426"/>
        </w:tabs>
        <w:spacing w:line="360" w:lineRule="auto"/>
        <w:ind w:firstLine="480" w:firstLineChars="200"/>
        <w:rPr>
          <w:rFonts w:hint="eastAsia" w:ascii="宋体" w:hAnsi="宋体" w:eastAsia="宋体" w:cs="宋体"/>
          <w:color w:val="000000"/>
          <w:sz w:val="24"/>
          <w:lang w:val="en-US" w:eastAsia="zh-CN"/>
        </w:rPr>
      </w:pPr>
      <w:bookmarkStart w:id="43" w:name="_Toc24364"/>
      <w:bookmarkStart w:id="44" w:name="_Toc22606"/>
      <w:bookmarkStart w:id="45" w:name="_Toc49938637"/>
      <w:r>
        <w:rPr>
          <w:rFonts w:hint="eastAsia" w:ascii="宋体" w:hAnsi="宋体" w:eastAsia="宋体" w:cs="宋体"/>
          <w:color w:val="000000"/>
          <w:sz w:val="24"/>
          <w:lang w:val="en-US" w:eastAsia="zh-CN"/>
        </w:rPr>
        <w:t>1.用途：适用于对病理切片进行图像扫描、浏览、存储、传输等。</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2.全自动一键式扫描，单次可加载切片数≥20张</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3.扫描方式：明场采用线性扫描技术，配置行频≥30KHz的线阵扫描相机，保证扫描连续性和最小图像拼接次数；（提供所使用相机的说明文件、内部安装照片等）</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4.物镜：包括20X、40X,数值孔径≥0.75NA</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5.扫描15mm*15mm有效组织面积，20倍物镜下的扫描时间≤40s，40倍物镜下，扫描时间≤100s</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6.20倍物镜下，分辨率≤0.5μm/pixel，40倍物镜下，分辨率≤0.25μm/pixel</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7.Z轴重复定位精度≤50nm，X、Y轴重复定位精度≤100nm</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8.至少支持单层、多层、融合扫描模式</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9.同时安装物镜数≥2个</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10.具备USB3.0数据通讯接口</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11.LED光源，寿命≥20,000小时</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软件部分：</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提供多种扫描模式，满足各种不同切片的扫描需要：标准（硬件实时对焦快速扫描）、高精度扫描（每个视野高精度对焦扫描）、景深扩展（采集多层图像并融合成一张图像）及Z-层叠（采集多层图像并存储成一张图像）等。</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13.支持识别切片标签：如数字，条码，二维码；自动识别有效组织区域，同时也可人工设定或修改扫描区域；自动预设焦点，也可人工添加或减少焦点</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14.可自由变换任意倍数进行全切片观察浏览，也可选择指定的倍数观察浏览；可随时添加个性化标注，能测量长度、周长、面积等，并可对所有标记进行管理；可多张图像同步移动、缩放，进行对比浏览分析；可以对数字切片图像的指定区域范围进行高清截图；可使用导航图，快速浏览整张数字切片</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15.支持同时显示多张图像</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16.扫描切片格式：数字切片支持不同格式的输出，至少包含svs文件格式的输出</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17.支持扫描后数字切片的云平台服务，支持自行注册账号，实现数字病理切片及其他数据上传，并以网页或二维码方式分享切片、病例等，支持在线多人同步浏览</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18.后续可升级配置远程会诊申请端软件，系统涉及病理数据的处理与诊断，应当具备独立的二类医疗器械注册证</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19.申请端可上传完整病人资料：病人基本信息、临床病史、数字切片、检验报告单、影像图像、大体照片等</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20.病例附件可直接在线浏览，包括但不限于Office文件，PDF文件等</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配置清单</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21.数字切片扫描与应用系统1套</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硬件：含扫描摄像头、自适应运动对焦装置、宏观摄像头和物镜等)，扫描移动装置，片夹等软件：数字切片扫描软件</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22.计算机系统一套：</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① 处理器：Intel Core i7；</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② 显示器≥27寸；</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③ 硬盘≥1TB；</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④ 内存≥16GB；</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售后服务要求：</w:t>
      </w:r>
      <w:bookmarkStart w:id="158" w:name="_GoBack"/>
      <w:bookmarkEnd w:id="158"/>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1、整套设备软硬件整体原厂保修≥5年</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2、原厂保修为全保保修服务：含整机及所有零配件等，整机所有零配件的更换、无限次人工维修服务、定期保养服务、系统的维护和升级（如网络、设备附属的硬件、操作系统及应用软件）等；</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3、提供 7 天×24 小时免费维修服务响应热线。设备发生故障时，初次响应时间：1 小时，并提供电话技术支持。现场响应时间：12 小时内到达设备使用现场进行维修；</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4、定期的维护保养、质控服务：每年提供不少于4次定期维护保养和质控，包含设备的安全检查、设备除尘保养、运行状态检查等等，并提供定期维护预先计划与保养及质控报告；</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5、所更换的备件应是原设备生产厂家认证合格的全新零配件，满足设备运行要求，不会给设备带来危害，备件供应 100%保障； </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6、免费提供设备的系统软件及硬件的安全性改版升级和技术支持，并保证所有系统软件（非功能软件）为最新版本； </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7、保证设备全年日历日的开机率≥95%，按照一年 365 个日历日计算, 未达到的天数，按1:2比例顺延保修期时间。</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8、需包含设备使用前培训≥1次，保修期内培训≥1次/年。</w:t>
      </w:r>
    </w:p>
    <w:p>
      <w:pPr>
        <w:tabs>
          <w:tab w:val="left" w:pos="426"/>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9、保证十年内有配件及耗材，有固定维修工程师，提供免费保修电话。</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16"/>
      <w:bookmarkStart w:id="49" w:name="_Toc97049027"/>
      <w:bookmarkStart w:id="50" w:name="_Toc97049461"/>
      <w:bookmarkStart w:id="51" w:name="_Toc97048645"/>
      <w:bookmarkStart w:id="52" w:name="_Toc10033"/>
      <w:bookmarkStart w:id="53" w:name="_Toc97048967"/>
      <w:bookmarkStart w:id="54" w:name="_Toc9145"/>
      <w:bookmarkStart w:id="55" w:name="_Toc97042591"/>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691028"/>
      <w:bookmarkStart w:id="83" w:name="_Toc50737299"/>
      <w:bookmarkStart w:id="84" w:name="_Toc76354927"/>
      <w:bookmarkStart w:id="85" w:name="_Toc50691040"/>
      <w:bookmarkStart w:id="86" w:name="_Toc50736479"/>
      <w:bookmarkStart w:id="87" w:name="_Toc52165077"/>
      <w:bookmarkStart w:id="88" w:name="_Toc50737293"/>
      <w:bookmarkStart w:id="89" w:name="_Toc50737331"/>
      <w:bookmarkStart w:id="90" w:name="_Toc52165083"/>
      <w:bookmarkStart w:id="91" w:name="_Toc50737325"/>
      <w:bookmarkStart w:id="92" w:name="_Toc50736473"/>
      <w:bookmarkStart w:id="93" w:name="_Toc76354921"/>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297"/>
      <w:bookmarkStart w:id="106" w:name="_Toc76354925"/>
      <w:bookmarkStart w:id="107" w:name="_Toc52165081"/>
      <w:bookmarkStart w:id="108" w:name="_Toc50737329"/>
      <w:bookmarkStart w:id="109" w:name="_Toc5073647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76354922"/>
      <w:bookmarkStart w:id="120" w:name="_Toc50736474"/>
      <w:bookmarkStart w:id="121" w:name="_Toc52165078"/>
      <w:bookmarkStart w:id="122" w:name="_Toc50737326"/>
      <w:bookmarkStart w:id="123" w:name="_Toc50737294"/>
      <w:bookmarkStart w:id="124" w:name="_Toc50691030"/>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559"/>
      <w:bookmarkStart w:id="149" w:name="_Toc4321"/>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E36305D"/>
    <w:rsid w:val="0E462B7A"/>
    <w:rsid w:val="0E870499"/>
    <w:rsid w:val="0EFB686F"/>
    <w:rsid w:val="0F28024F"/>
    <w:rsid w:val="0F286369"/>
    <w:rsid w:val="0F812347"/>
    <w:rsid w:val="0F8207F0"/>
    <w:rsid w:val="0FB51FFA"/>
    <w:rsid w:val="10E65DA6"/>
    <w:rsid w:val="114A2981"/>
    <w:rsid w:val="12441F87"/>
    <w:rsid w:val="1347446E"/>
    <w:rsid w:val="140E7490"/>
    <w:rsid w:val="14614DA5"/>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47C68C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8694DB8"/>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342C41"/>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227607"/>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9</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2025-01-14T09:48:38Z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