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冷刀宫腔镜、膨宫泵采购项目</w:t>
      </w:r>
    </w:p>
    <w:p>
      <w:pPr>
        <w:spacing w:line="360" w:lineRule="auto"/>
        <w:ind w:right="-420" w:rightChars="-200"/>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2583"/>
      <w:bookmarkStart w:id="1" w:name="_Toc97048959"/>
      <w:bookmarkStart w:id="2" w:name="_Toc97049453"/>
      <w:bookmarkStart w:id="3" w:name="_Toc97048637"/>
      <w:bookmarkStart w:id="4" w:name="_Toc14383"/>
      <w:bookmarkStart w:id="5" w:name="_Toc23897"/>
      <w:bookmarkStart w:id="6" w:name="_Toc97049019"/>
      <w:bookmarkStart w:id="7" w:name="_Toc22955"/>
      <w:bookmarkStart w:id="8" w:name="_Toc5414"/>
      <w:bookmarkStart w:id="9" w:name="_Toc970490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是指新生儿无创呼吸机采购项目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1.5</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16.5</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16.5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得0.75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6.5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17854"/>
      <w:bookmarkStart w:id="29" w:name="_Toc19972"/>
      <w:bookmarkStart w:id="30" w:name="_Toc4600"/>
      <w:bookmarkStart w:id="31" w:name="_Toc97049024"/>
      <w:bookmarkStart w:id="32" w:name="_Toc97042588"/>
      <w:bookmarkStart w:id="33" w:name="_Toc97049015"/>
      <w:bookmarkStart w:id="34" w:name="_Toc97048964"/>
      <w:bookmarkStart w:id="35" w:name="_Toc97049458"/>
      <w:bookmarkStart w:id="36" w:name="_Toc9704864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冷刀宫腔镜及附件</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膨宫泵</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32"/>
          <w:szCs w:val="32"/>
          <w:highlight w:val="none"/>
          <w:lang w:val="en-US" w:eastAsia="zh-CN"/>
        </w:rPr>
      </w:pPr>
      <w:bookmarkStart w:id="43" w:name="_Toc22606"/>
      <w:bookmarkStart w:id="44" w:name="_Toc24364"/>
      <w:bookmarkStart w:id="45" w:name="_Toc49938637"/>
      <w:r>
        <w:rPr>
          <w:rFonts w:hint="eastAsia" w:ascii="宋体" w:hAnsi="宋体" w:eastAsia="宋体" w:cs="宋体"/>
          <w:sz w:val="32"/>
          <w:szCs w:val="32"/>
          <w:highlight w:val="none"/>
          <w:lang w:val="en-US" w:eastAsia="zh-CN"/>
        </w:rPr>
        <w:t>包组A：</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sz w:val="28"/>
          <w:szCs w:val="28"/>
        </w:rPr>
        <w:t>用于宫腔检查、宫腔疾病的治疗，通过实现宫腔镜手术器械巨型化以完成有困难的手术检查和治疗，如子宫纵膈、子宫肌瘤、宫腔息肉、宫腔粘连以及异物嵌顿或</w:t>
      </w:r>
      <w:r>
        <w:rPr>
          <w:rFonts w:hint="eastAsia" w:ascii="宋体" w:hAnsi="宋体" w:eastAsia="宋体" w:cs="宋体"/>
          <w:sz w:val="28"/>
          <w:szCs w:val="28"/>
          <w:lang w:val="en-US" w:eastAsia="zh-CN"/>
        </w:rPr>
        <w:t>胚胎</w:t>
      </w:r>
      <w:r>
        <w:rPr>
          <w:rFonts w:hint="eastAsia" w:ascii="宋体" w:hAnsi="宋体" w:eastAsia="宋体" w:cs="宋体"/>
          <w:sz w:val="28"/>
          <w:szCs w:val="28"/>
        </w:rPr>
        <w:t>残留取出等</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2.系统应包冷刀含宫腔镜2把（含外鞘及闭孔器）</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3.采用柱状透镜、蓝宝石镜面，镜面具备防腐蚀性特殊涂层；带灌流系统</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4.镜体外径≤Ø8.4mm 、</w:t>
      </w:r>
      <w:r>
        <w:rPr>
          <w:rFonts w:hint="eastAsia" w:ascii="宋体" w:hAnsi="宋体" w:eastAsia="宋体" w:cs="宋体"/>
          <w:sz w:val="28"/>
          <w:szCs w:val="28"/>
        </w:rPr>
        <w:t>器械通道包含在镜体内</w:t>
      </w:r>
      <w:r>
        <w:rPr>
          <w:rFonts w:hint="eastAsia" w:ascii="宋体" w:hAnsi="宋体" w:eastAsia="宋体" w:cs="宋体"/>
          <w:sz w:val="28"/>
          <w:szCs w:val="28"/>
          <w:lang w:eastAsia="zh-CN"/>
        </w:rPr>
        <w:t>，</w:t>
      </w:r>
      <w:r>
        <w:rPr>
          <w:rFonts w:hint="eastAsia" w:ascii="宋体" w:hAnsi="宋体" w:eastAsia="宋体" w:cs="宋体"/>
          <w:sz w:val="28"/>
          <w:szCs w:val="28"/>
        </w:rPr>
        <w:t>镜子手术器械通道</w:t>
      </w:r>
      <w:r>
        <w:rPr>
          <w:rFonts w:hint="eastAsia" w:ascii="宋体" w:hAnsi="宋体" w:eastAsia="宋体" w:cs="宋体"/>
          <w:b w:val="0"/>
          <w:bCs w:val="0"/>
          <w:sz w:val="28"/>
          <w:szCs w:val="28"/>
          <w:lang w:val="en-US" w:eastAsia="zh-CN"/>
        </w:rPr>
        <w:t>≥Ø4mm</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5.主镜工作长度≥190mm、有效景深不窄于5～100mm</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6.视场角≥70°、视向角≥12°</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7.角分辨力≥9lp/mm</w:t>
      </w:r>
    </w:p>
    <w:p>
      <w:pPr>
        <w:widowControl w:val="0"/>
        <w:numPr>
          <w:ilvl w:val="0"/>
          <w:numId w:val="0"/>
        </w:numPr>
        <w:jc w:val="both"/>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可配备多种器械，至少包括圆头弯剪刀、尖头</w:t>
      </w:r>
      <w:r>
        <w:rPr>
          <w:rFonts w:hint="eastAsia" w:ascii="宋体" w:hAnsi="宋体" w:eastAsia="宋体" w:cs="宋体"/>
          <w:sz w:val="28"/>
          <w:szCs w:val="28"/>
          <w:lang w:val="en-US" w:eastAsia="zh-CN"/>
        </w:rPr>
        <w:t>单开</w:t>
      </w:r>
      <w:r>
        <w:rPr>
          <w:rFonts w:hint="eastAsia" w:ascii="宋体" w:hAnsi="宋体" w:eastAsia="宋体" w:cs="宋体"/>
          <w:sz w:val="28"/>
          <w:szCs w:val="28"/>
        </w:rPr>
        <w:t>直剪刀、尖头双开</w:t>
      </w:r>
      <w:r>
        <w:rPr>
          <w:rFonts w:hint="eastAsia" w:ascii="宋体" w:hAnsi="宋体" w:eastAsia="宋体" w:cs="宋体"/>
          <w:sz w:val="28"/>
          <w:szCs w:val="28"/>
          <w:lang w:val="en-US" w:eastAsia="zh-CN"/>
        </w:rPr>
        <w:t>直</w:t>
      </w:r>
      <w:r>
        <w:rPr>
          <w:rFonts w:hint="eastAsia" w:ascii="宋体" w:hAnsi="宋体" w:eastAsia="宋体" w:cs="宋体"/>
          <w:sz w:val="28"/>
          <w:szCs w:val="28"/>
        </w:rPr>
        <w:t>剪刀、微型钩剪刀、弯分离钳、活检钳，重型抓钳、大型抓钳等</w:t>
      </w:r>
    </w:p>
    <w:p>
      <w:pPr>
        <w:widowControl w:val="0"/>
        <w:numPr>
          <w:ilvl w:val="0"/>
          <w:numId w:val="0"/>
        </w:numPr>
        <w:jc w:val="both"/>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镜体密封性好</w:t>
      </w:r>
      <w:r>
        <w:rPr>
          <w:rFonts w:hint="eastAsia" w:ascii="宋体" w:hAnsi="宋体" w:eastAsia="宋体" w:cs="宋体"/>
          <w:sz w:val="28"/>
          <w:szCs w:val="28"/>
          <w:lang w:eastAsia="zh-CN"/>
        </w:rPr>
        <w:t>，</w:t>
      </w:r>
      <w:r>
        <w:rPr>
          <w:rFonts w:hint="eastAsia" w:ascii="宋体" w:hAnsi="宋体" w:eastAsia="宋体" w:cs="宋体"/>
          <w:sz w:val="28"/>
          <w:szCs w:val="28"/>
        </w:rPr>
        <w:t>可耐高温高压消毒</w:t>
      </w:r>
    </w:p>
    <w:p>
      <w:pPr>
        <w:widowControl w:val="0"/>
        <w:numPr>
          <w:ilvl w:val="0"/>
          <w:numId w:val="0"/>
        </w:numPr>
        <w:jc w:val="both"/>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手术器械</w:t>
      </w:r>
      <w:r>
        <w:rPr>
          <w:rFonts w:hint="eastAsia" w:ascii="宋体" w:hAnsi="宋体" w:eastAsia="宋体" w:cs="宋体"/>
          <w:sz w:val="28"/>
          <w:szCs w:val="28"/>
          <w:lang w:eastAsia="zh-CN"/>
        </w:rPr>
        <w:t>设计需符合</w:t>
      </w:r>
      <w:r>
        <w:rPr>
          <w:rFonts w:hint="eastAsia" w:ascii="宋体" w:hAnsi="宋体" w:eastAsia="宋体" w:cs="宋体"/>
          <w:sz w:val="28"/>
          <w:szCs w:val="28"/>
        </w:rPr>
        <w:t>内窥镜手术器械清洗灭菌要求</w:t>
      </w:r>
      <w:r>
        <w:rPr>
          <w:rFonts w:hint="eastAsia" w:ascii="宋体" w:hAnsi="宋体" w:eastAsia="宋体" w:cs="宋体"/>
          <w:sz w:val="28"/>
          <w:szCs w:val="28"/>
          <w:lang w:eastAsia="zh-CN"/>
        </w:rPr>
        <w:t>，</w:t>
      </w:r>
      <w:r>
        <w:rPr>
          <w:rFonts w:hint="eastAsia" w:ascii="宋体" w:hAnsi="宋体" w:eastAsia="宋体" w:cs="宋体"/>
          <w:sz w:val="28"/>
          <w:szCs w:val="28"/>
        </w:rPr>
        <w:t>可低温等离子、高温高压消毒</w:t>
      </w:r>
    </w:p>
    <w:p>
      <w:pPr>
        <w:pStyle w:val="32"/>
        <w:ind w:left="0" w:leftChars="0" w:firstLine="0" w:firstLineChars="0"/>
        <w:rPr>
          <w:rFonts w:hint="eastAsia" w:ascii="宋体" w:hAnsi="宋体" w:eastAsia="宋体" w:cs="宋体"/>
          <w:sz w:val="28"/>
          <w:szCs w:val="28"/>
        </w:rPr>
      </w:pPr>
      <w:r>
        <w:rPr>
          <w:rFonts w:hint="eastAsia" w:eastAsia="宋体"/>
          <w:sz w:val="21"/>
          <w:szCs w:val="21"/>
          <w:highlight w:val="none"/>
        </w:rPr>
        <w:t>▲</w:t>
      </w:r>
      <w:r>
        <w:rPr>
          <w:rFonts w:hint="eastAsia" w:ascii="宋体" w:hAnsi="宋体" w:eastAsia="宋体" w:cs="宋体"/>
          <w:sz w:val="28"/>
          <w:szCs w:val="28"/>
          <w:lang w:val="en-US" w:eastAsia="zh-CN"/>
        </w:rPr>
        <w:t>11.进出水口</w:t>
      </w:r>
      <w:r>
        <w:rPr>
          <w:rFonts w:hint="eastAsia" w:ascii="宋体" w:hAnsi="宋体" w:eastAsia="宋体" w:cs="宋体"/>
          <w:sz w:val="28"/>
          <w:szCs w:val="28"/>
        </w:rPr>
        <w:t>可根据手术需求360度旋转，防止进出水路管缠绕</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eastAsia="宋体"/>
          <w:sz w:val="21"/>
          <w:szCs w:val="21"/>
          <w:highlight w:val="none"/>
        </w:rPr>
        <w:t>▲</w:t>
      </w:r>
      <w:r>
        <w:rPr>
          <w:rFonts w:hint="eastAsia" w:ascii="宋体" w:hAnsi="宋体" w:eastAsia="宋体" w:cs="宋体"/>
          <w:b w:val="0"/>
          <w:bCs w:val="0"/>
          <w:sz w:val="28"/>
          <w:szCs w:val="28"/>
          <w:lang w:val="en-US" w:eastAsia="zh-CN"/>
        </w:rPr>
        <w:t>12.冷刀宫腔镜可以搭配各种手术动力系统使用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13.</w:t>
      </w:r>
      <w:r>
        <w:rPr>
          <w:rFonts w:hint="eastAsia" w:ascii="宋体" w:hAnsi="宋体" w:eastAsia="宋体" w:cs="宋体"/>
          <w:sz w:val="28"/>
          <w:szCs w:val="28"/>
        </w:rPr>
        <w:t>配备专用消毒盒，方便医院选择不同消毒方式分别灭菌和存放，保护镜子及器械附件使用功能正常</w:t>
      </w:r>
      <w:r>
        <w:rPr>
          <w:rFonts w:hint="eastAsia" w:ascii="宋体" w:hAnsi="宋体" w:eastAsia="宋体" w:cs="宋体"/>
          <w:sz w:val="28"/>
          <w:szCs w:val="28"/>
          <w:lang w:eastAsia="zh-CN"/>
        </w:rPr>
        <w:t>；</w:t>
      </w:r>
    </w:p>
    <w:p>
      <w:pPr>
        <w:widowControl w:val="0"/>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14.自验收合格之日起计整机免费原厂保修期≥3年（包含维护、保养、维修及所有零配件等）</w:t>
      </w:r>
    </w:p>
    <w:p>
      <w:pPr>
        <w:widowControl w:val="0"/>
        <w:numPr>
          <w:ilvl w:val="0"/>
          <w:numId w:val="0"/>
        </w:numPr>
        <w:jc w:val="both"/>
        <w:rPr>
          <w:rFonts w:hint="eastAsia" w:ascii="宋体" w:hAnsi="宋体" w:eastAsia="宋体" w:cs="宋体"/>
          <w:b w:val="0"/>
          <w:bCs w:val="0"/>
          <w:sz w:val="28"/>
          <w:szCs w:val="28"/>
          <w:lang w:val="en-US" w:eastAsia="zh-CN"/>
        </w:rPr>
      </w:pPr>
    </w:p>
    <w:p>
      <w:p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包组B：</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15.具备膨宫及冲洗功能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▲16</w:t>
      </w:r>
      <w:r>
        <w:rPr>
          <w:rFonts w:hint="eastAsia" w:ascii="宋体" w:hAnsi="宋体" w:cs="宋体"/>
          <w:b w:val="0"/>
          <w:bCs w:val="0"/>
          <w:sz w:val="28"/>
          <w:szCs w:val="28"/>
          <w:lang w:val="en-US" w:eastAsia="zh-CN"/>
        </w:rPr>
        <w:t>.最大压力≤200mmHg，可调节；压力设置允差为≤±5%</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▲17</w:t>
      </w:r>
      <w:r>
        <w:rPr>
          <w:rFonts w:hint="eastAsia" w:ascii="宋体" w:hAnsi="宋体" w:cs="宋体"/>
          <w:b w:val="0"/>
          <w:bCs w:val="0"/>
          <w:sz w:val="28"/>
          <w:szCs w:val="28"/>
          <w:lang w:val="en-US" w:eastAsia="zh-CN"/>
        </w:rPr>
        <w:t>.最大冲洗流速不窄于10～500mL/min，可调节</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▲18</w:t>
      </w:r>
      <w:r>
        <w:rPr>
          <w:rFonts w:hint="eastAsia" w:ascii="宋体" w:hAnsi="宋体" w:cs="宋体"/>
          <w:b w:val="0"/>
          <w:bCs w:val="0"/>
          <w:sz w:val="28"/>
          <w:szCs w:val="28"/>
          <w:lang w:val="en-US" w:eastAsia="zh-CN"/>
        </w:rPr>
        <w:t>.具备过压/过冲报警功能，超过报警范围加压器气泵自动停止运行</w:t>
      </w:r>
      <w:bookmarkStart w:id="158" w:name="_GoBack"/>
      <w:bookmarkEnd w:id="158"/>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▲19</w:t>
      </w:r>
      <w:r>
        <w:rPr>
          <w:rFonts w:hint="eastAsia" w:ascii="宋体" w:hAnsi="宋体" w:cs="宋体"/>
          <w:b w:val="0"/>
          <w:bCs w:val="0"/>
          <w:sz w:val="28"/>
          <w:szCs w:val="28"/>
          <w:lang w:val="en-US" w:eastAsia="zh-CN"/>
        </w:rPr>
        <w:t>.配备冲洗管路，可重复灭菌使用≥30次</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20.自验收合格之日起计整机免费原厂保修期≥3年（包含维护、保养、维修及所有零配件等）</w:t>
      </w:r>
    </w:p>
    <w:p>
      <w:pPr>
        <w:rPr>
          <w:rFonts w:hint="default" w:ascii="宋体" w:hAnsi="宋体" w:eastAsia="宋体" w:cs="宋体"/>
          <w:sz w:val="32"/>
          <w:szCs w:val="32"/>
          <w:highlight w:val="none"/>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8967"/>
      <w:bookmarkStart w:id="50" w:name="_Toc97048645"/>
      <w:bookmarkStart w:id="51" w:name="_Toc97049461"/>
      <w:bookmarkStart w:id="52" w:name="_Toc97042591"/>
      <w:bookmarkStart w:id="53" w:name="_Toc97049016"/>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3"/>
      <w:bookmarkStart w:id="83" w:name="_Toc50737325"/>
      <w:bookmarkStart w:id="84" w:name="_Toc50737331"/>
      <w:bookmarkStart w:id="85" w:name="_Toc52165077"/>
      <w:bookmarkStart w:id="86" w:name="_Toc76354921"/>
      <w:bookmarkStart w:id="87" w:name="_Toc76354927"/>
      <w:bookmarkStart w:id="88" w:name="_Toc50691028"/>
      <w:bookmarkStart w:id="89" w:name="_Toc50736479"/>
      <w:bookmarkStart w:id="90" w:name="_Toc50691040"/>
      <w:bookmarkStart w:id="91" w:name="_Toc50737299"/>
      <w:bookmarkStart w:id="92" w:name="_Toc52165083"/>
      <w:bookmarkStart w:id="93" w:name="_Toc5073729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50691029"/>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7297"/>
      <w:bookmarkStart w:id="107" w:name="_Toc50736477"/>
      <w:bookmarkStart w:id="108" w:name="_Toc52165081"/>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6474"/>
      <w:bookmarkStart w:id="121" w:name="_Toc52165078"/>
      <w:bookmarkStart w:id="122" w:name="_Toc50737294"/>
      <w:bookmarkStart w:id="123" w:name="_Toc50737326"/>
      <w:bookmarkStart w:id="124" w:name="_Toc50691030"/>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47C68C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2024-12-13T09:22:57Z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