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骨科电钻采购项目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2024年12</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2955"/>
      <w:bookmarkStart w:id="1" w:name="_Toc97049014"/>
      <w:bookmarkStart w:id="2" w:name="_Toc5414"/>
      <w:bookmarkStart w:id="3" w:name="_Toc14383"/>
      <w:bookmarkStart w:id="4" w:name="_Toc97048637"/>
      <w:bookmarkStart w:id="5" w:name="_Toc97049019"/>
      <w:bookmarkStart w:id="6" w:name="_Toc97048959"/>
      <w:bookmarkStart w:id="7" w:name="_Toc97042583"/>
      <w:bookmarkStart w:id="8" w:name="_Toc97049453"/>
      <w:bookmarkStart w:id="9" w:name="_Toc2389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是指骨科电钻采购项目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16</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0.5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6</w:t>
            </w:r>
            <w:bookmarkStart w:id="160" w:name="_GoBack"/>
            <w:bookmarkEnd w:id="160"/>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964"/>
      <w:bookmarkStart w:id="28" w:name="_Toc97048642"/>
      <w:bookmarkStart w:id="29" w:name="_Toc4600"/>
      <w:bookmarkStart w:id="30" w:name="_Toc97049458"/>
      <w:bookmarkStart w:id="31" w:name="_Toc97049015"/>
      <w:bookmarkStart w:id="32" w:name="_Toc19293"/>
      <w:bookmarkStart w:id="33" w:name="_Toc19972"/>
      <w:bookmarkStart w:id="34" w:name="_Toc17854"/>
      <w:bookmarkStart w:id="35" w:name="_Toc97042588"/>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骨科电钻</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批</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jc w:val="both"/>
        <w:rPr>
          <w:rFonts w:hint="default" w:ascii="宋体" w:hAnsi="宋体" w:cs="宋体"/>
          <w:b w:val="0"/>
          <w:bCs w:val="0"/>
          <w:sz w:val="28"/>
          <w:szCs w:val="28"/>
          <w:lang w:val="en-US" w:eastAsia="zh-CN"/>
        </w:rPr>
      </w:pPr>
      <w:bookmarkStart w:id="43" w:name="_Toc22606"/>
      <w:bookmarkStart w:id="44" w:name="_Toc24364"/>
      <w:bookmarkStart w:id="45" w:name="_Toc49938637"/>
      <w:r>
        <w:rPr>
          <w:rFonts w:hint="eastAsia" w:ascii="宋体" w:hAnsi="宋体" w:cs="宋体"/>
          <w:b w:val="0"/>
          <w:bCs w:val="0"/>
          <w:sz w:val="28"/>
          <w:szCs w:val="28"/>
          <w:lang w:val="en-US" w:eastAsia="zh-CN"/>
        </w:rPr>
        <w:t>（一）空心钻4把</w:t>
      </w:r>
    </w:p>
    <w:p>
      <w:pPr>
        <w:widowControl w:val="0"/>
        <w:numPr>
          <w:ilvl w:val="0"/>
          <w:numId w:val="0"/>
        </w:numPr>
        <w:jc w:val="both"/>
        <w:rPr>
          <w:rFonts w:hint="eastAsia" w:ascii="宋体" w:hAnsi="宋体" w:cs="宋体"/>
          <w:b w:val="0"/>
          <w:bCs w:val="0"/>
          <w:sz w:val="28"/>
          <w:szCs w:val="28"/>
          <w:lang w:val="en-US" w:eastAsia="zh-CN"/>
        </w:rPr>
      </w:pPr>
      <w:bookmarkStart w:id="46" w:name="OLE_LINK6"/>
      <w:r>
        <w:rPr>
          <w:rFonts w:hint="eastAsia" w:ascii="宋体" w:hAnsi="宋体" w:cs="宋体"/>
          <w:b w:val="0"/>
          <w:bCs w:val="0"/>
          <w:sz w:val="28"/>
          <w:szCs w:val="28"/>
          <w:lang w:val="en-US" w:eastAsia="zh-CN"/>
        </w:rPr>
        <w:t>1.可用于创伤、关节、髓内钉手术；可接骨髓腔软扩髓扩锉</w:t>
      </w:r>
    </w:p>
    <w:p>
      <w:pPr>
        <w:widowControl w:val="0"/>
        <w:numPr>
          <w:ilvl w:val="0"/>
          <w:numId w:val="0"/>
        </w:numPr>
        <w:jc w:val="both"/>
        <w:rPr>
          <w:rFonts w:hint="eastAsia" w:ascii="宋体" w:hAnsi="宋体" w:cs="宋体"/>
          <w:b w:val="0"/>
          <w:bCs w:val="0"/>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sz w:val="28"/>
          <w:szCs w:val="28"/>
          <w:highlight w:val="none"/>
          <w:lang w:val="en-US" w:eastAsia="zh-CN"/>
        </w:rPr>
        <w:t>2.转速≥600转/分、手控无极变速</w:t>
      </w:r>
    </w:p>
    <w:p>
      <w:pPr>
        <w:widowControl w:val="0"/>
        <w:numPr>
          <w:ilvl w:val="0"/>
          <w:numId w:val="0"/>
        </w:numPr>
        <w:jc w:val="both"/>
        <w:rPr>
          <w:rFonts w:hint="eastAsia" w:ascii="宋体" w:hAnsi="宋体" w:cs="宋体"/>
          <w:b w:val="0"/>
          <w:bCs w:val="0"/>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sz w:val="28"/>
          <w:szCs w:val="28"/>
          <w:highlight w:val="none"/>
          <w:lang w:val="en-US" w:eastAsia="zh-CN"/>
        </w:rPr>
        <w:t>3.最大扭矩≥5mN·m</w:t>
      </w:r>
    </w:p>
    <w:p>
      <w:pPr>
        <w:widowControl w:val="0"/>
        <w:numPr>
          <w:ilvl w:val="0"/>
          <w:numId w:val="0"/>
        </w:numPr>
        <w:jc w:val="both"/>
        <w:rPr>
          <w:rFonts w:hint="eastAsia" w:ascii="宋体" w:hAnsi="宋体" w:cs="宋体"/>
          <w:b w:val="0"/>
          <w:bCs w:val="0"/>
          <w:sz w:val="28"/>
          <w:szCs w:val="28"/>
          <w:lang w:val="en-US" w:eastAsia="zh-CN"/>
        </w:rPr>
      </w:pPr>
      <w:r>
        <w:rPr>
          <w:rFonts w:hint="default" w:ascii="Times New Roman" w:hAnsi="Times New Roman" w:cs="Times New Roman"/>
          <w:bCs/>
          <w:sz w:val="24"/>
        </w:rPr>
        <w:t>▲</w:t>
      </w:r>
      <w:r>
        <w:rPr>
          <w:rFonts w:hint="eastAsia" w:ascii="宋体" w:hAnsi="宋体" w:cs="宋体"/>
          <w:b w:val="0"/>
          <w:bCs w:val="0"/>
          <w:sz w:val="28"/>
          <w:szCs w:val="28"/>
          <w:lang w:val="en-US" w:eastAsia="zh-CN"/>
        </w:rPr>
        <w:t>4.采用可充电 14.4V镍氢电池</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5.采用金属外壳、可134℃高温高压消毒</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6.温升≤25°C</w:t>
      </w:r>
    </w:p>
    <w:p>
      <w:pPr>
        <w:widowControl w:val="0"/>
        <w:numPr>
          <w:ilvl w:val="0"/>
          <w:numId w:val="0"/>
        </w:numPr>
        <w:jc w:val="both"/>
        <w:rPr>
          <w:rFonts w:hint="eastAsia" w:ascii="宋体" w:hAnsi="宋体"/>
          <w:sz w:val="28"/>
          <w:szCs w:val="28"/>
          <w:lang w:eastAsia="zh-CN"/>
        </w:rPr>
      </w:pPr>
      <w:r>
        <w:rPr>
          <w:rFonts w:hint="eastAsia" w:ascii="宋体" w:hAnsi="宋体" w:cs="宋体"/>
          <w:b w:val="0"/>
          <w:bCs w:val="0"/>
          <w:sz w:val="28"/>
          <w:szCs w:val="28"/>
          <w:lang w:val="en-US" w:eastAsia="zh-CN"/>
        </w:rPr>
        <w:t>7.可整机高温高压消毒，耐</w:t>
      </w:r>
      <w:bookmarkStart w:id="47" w:name="OLE_LINK5"/>
      <w:r>
        <w:rPr>
          <w:rFonts w:hint="eastAsia" w:ascii="宋体" w:hAnsi="宋体" w:cs="宋体"/>
          <w:b w:val="0"/>
          <w:bCs w:val="0"/>
          <w:sz w:val="28"/>
          <w:szCs w:val="28"/>
          <w:lang w:val="en-US" w:eastAsia="zh-CN"/>
        </w:rPr>
        <w:t>≥</w:t>
      </w:r>
      <w:bookmarkEnd w:id="47"/>
      <w:r>
        <w:rPr>
          <w:rFonts w:hint="eastAsia" w:ascii="宋体" w:hAnsi="宋体" w:cs="宋体"/>
          <w:b w:val="0"/>
          <w:bCs w:val="0"/>
          <w:sz w:val="28"/>
          <w:szCs w:val="28"/>
          <w:lang w:val="en-US" w:eastAsia="zh-CN"/>
        </w:rPr>
        <w:t>135</w:t>
      </w:r>
      <w:r>
        <w:rPr>
          <w:rFonts w:hint="eastAsia" w:ascii="宋体" w:hAnsi="宋体"/>
          <w:sz w:val="28"/>
          <w:szCs w:val="28"/>
        </w:rPr>
        <w:t>℃</w:t>
      </w:r>
      <w:r>
        <w:rPr>
          <w:rFonts w:hint="eastAsia" w:ascii="宋体" w:hAnsi="宋体"/>
          <w:sz w:val="28"/>
          <w:szCs w:val="28"/>
          <w:lang w:eastAsia="zh-CN"/>
        </w:rPr>
        <w:t>高温</w:t>
      </w:r>
    </w:p>
    <w:p>
      <w:pPr>
        <w:widowControl w:val="0"/>
        <w:numPr>
          <w:ilvl w:val="0"/>
          <w:numId w:val="0"/>
        </w:numPr>
        <w:jc w:val="both"/>
        <w:rPr>
          <w:rFonts w:hint="default" w:ascii="宋体" w:hAnsi="宋体"/>
          <w:sz w:val="28"/>
          <w:szCs w:val="28"/>
          <w:lang w:val="en-US" w:eastAsia="zh-CN"/>
        </w:rPr>
      </w:pPr>
      <w:r>
        <w:rPr>
          <w:rFonts w:hint="default" w:ascii="Times New Roman" w:hAnsi="Times New Roman" w:cs="Times New Roman"/>
          <w:bCs/>
          <w:sz w:val="24"/>
        </w:rPr>
        <w:t>▲</w:t>
      </w:r>
      <w:r>
        <w:rPr>
          <w:rFonts w:hint="eastAsia" w:ascii="宋体" w:hAnsi="宋体"/>
          <w:sz w:val="28"/>
          <w:szCs w:val="28"/>
          <w:lang w:val="en-US" w:eastAsia="zh-CN"/>
        </w:rPr>
        <w:t>8.</w:t>
      </w:r>
      <w:r>
        <w:rPr>
          <w:rFonts w:hint="eastAsia" w:ascii="宋体" w:hAnsi="宋体"/>
          <w:sz w:val="28"/>
          <w:szCs w:val="28"/>
          <w:lang w:eastAsia="zh-CN"/>
        </w:rPr>
        <w:t>电池免消毒，数量</w:t>
      </w:r>
      <w:r>
        <w:rPr>
          <w:rFonts w:hint="eastAsia" w:ascii="宋体" w:hAnsi="宋体" w:cs="宋体"/>
          <w:b w:val="0"/>
          <w:bCs w:val="0"/>
          <w:sz w:val="28"/>
          <w:szCs w:val="28"/>
          <w:lang w:val="en-US" w:eastAsia="zh-CN"/>
        </w:rPr>
        <w:t>≥2块</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9.充电器一个、钻头夹一个、夹头钥匙一个、消毒通道两个</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10.自验收合格之日起计整机免费原厂保修期≥3年（包含维护、保养、维修及所有零配件等）</w:t>
      </w:r>
    </w:p>
    <w:bookmarkEnd w:id="46"/>
    <w:p>
      <w:pPr>
        <w:widowControl w:val="0"/>
        <w:numPr>
          <w:ilvl w:val="0"/>
          <w:numId w:val="8"/>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普通骨钻6把</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1.可用于创伤、关节、髓内钉手术；可接骨髓腔软扩髓扩锉</w:t>
      </w:r>
    </w:p>
    <w:p>
      <w:pPr>
        <w:widowControl w:val="0"/>
        <w:numPr>
          <w:ilvl w:val="0"/>
          <w:numId w:val="0"/>
        </w:numPr>
        <w:jc w:val="both"/>
        <w:rPr>
          <w:rFonts w:hint="eastAsia" w:ascii="宋体" w:hAnsi="宋体" w:cs="宋体"/>
          <w:b w:val="0"/>
          <w:bCs w:val="0"/>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sz w:val="28"/>
          <w:szCs w:val="28"/>
          <w:highlight w:val="none"/>
          <w:lang w:val="en-US" w:eastAsia="zh-CN"/>
        </w:rPr>
        <w:t>2.转速≥1100转/分、手控无极变速</w:t>
      </w:r>
    </w:p>
    <w:p>
      <w:pPr>
        <w:widowControl w:val="0"/>
        <w:numPr>
          <w:ilvl w:val="0"/>
          <w:numId w:val="0"/>
        </w:numPr>
        <w:jc w:val="both"/>
        <w:rPr>
          <w:rFonts w:hint="eastAsia" w:ascii="宋体" w:hAnsi="宋体" w:cs="宋体"/>
          <w:b w:val="0"/>
          <w:bCs w:val="0"/>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sz w:val="28"/>
          <w:szCs w:val="28"/>
          <w:highlight w:val="none"/>
          <w:lang w:val="en-US" w:eastAsia="zh-CN"/>
        </w:rPr>
        <w:t>3.最大扭矩≥3.5mN·m</w:t>
      </w:r>
    </w:p>
    <w:p>
      <w:pPr>
        <w:widowControl w:val="0"/>
        <w:numPr>
          <w:ilvl w:val="0"/>
          <w:numId w:val="0"/>
        </w:numPr>
        <w:jc w:val="both"/>
        <w:rPr>
          <w:rFonts w:hint="eastAsia" w:ascii="宋体" w:hAnsi="宋体" w:cs="宋体"/>
          <w:b w:val="0"/>
          <w:bCs w:val="0"/>
          <w:sz w:val="28"/>
          <w:szCs w:val="28"/>
          <w:lang w:val="en-US" w:eastAsia="zh-CN"/>
        </w:rPr>
      </w:pPr>
      <w:r>
        <w:rPr>
          <w:rFonts w:hint="default" w:ascii="Times New Roman" w:hAnsi="Times New Roman" w:cs="Times New Roman"/>
          <w:bCs/>
          <w:sz w:val="24"/>
        </w:rPr>
        <w:t>▲</w:t>
      </w:r>
      <w:r>
        <w:rPr>
          <w:rFonts w:hint="eastAsia" w:ascii="宋体" w:hAnsi="宋体" w:cs="宋体"/>
          <w:b w:val="0"/>
          <w:bCs w:val="0"/>
          <w:sz w:val="28"/>
          <w:szCs w:val="28"/>
          <w:lang w:val="en-US" w:eastAsia="zh-CN"/>
        </w:rPr>
        <w:t>4.采用可充电 14.4V镍氢电池</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5.采用金属外壳、可134℃高温高压消毒</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6.温升≤25°C</w:t>
      </w:r>
    </w:p>
    <w:p>
      <w:pPr>
        <w:widowControl w:val="0"/>
        <w:numPr>
          <w:ilvl w:val="0"/>
          <w:numId w:val="0"/>
        </w:numPr>
        <w:jc w:val="both"/>
        <w:rPr>
          <w:rFonts w:hint="eastAsia" w:ascii="宋体" w:hAnsi="宋体"/>
          <w:sz w:val="28"/>
          <w:szCs w:val="28"/>
          <w:lang w:eastAsia="zh-CN"/>
        </w:rPr>
      </w:pPr>
      <w:r>
        <w:rPr>
          <w:rFonts w:hint="eastAsia" w:ascii="宋体" w:hAnsi="宋体" w:cs="宋体"/>
          <w:b w:val="0"/>
          <w:bCs w:val="0"/>
          <w:sz w:val="28"/>
          <w:szCs w:val="28"/>
          <w:lang w:val="en-US" w:eastAsia="zh-CN"/>
        </w:rPr>
        <w:t>7.可整机高温高压消毒，耐≥135</w:t>
      </w:r>
      <w:r>
        <w:rPr>
          <w:rFonts w:hint="eastAsia" w:ascii="宋体" w:hAnsi="宋体"/>
          <w:sz w:val="28"/>
          <w:szCs w:val="28"/>
        </w:rPr>
        <w:t>℃</w:t>
      </w:r>
      <w:r>
        <w:rPr>
          <w:rFonts w:hint="eastAsia" w:ascii="宋体" w:hAnsi="宋体"/>
          <w:sz w:val="28"/>
          <w:szCs w:val="28"/>
          <w:lang w:eastAsia="zh-CN"/>
        </w:rPr>
        <w:t>高温</w:t>
      </w:r>
    </w:p>
    <w:p>
      <w:pPr>
        <w:widowControl w:val="0"/>
        <w:numPr>
          <w:ilvl w:val="0"/>
          <w:numId w:val="0"/>
        </w:numPr>
        <w:jc w:val="both"/>
        <w:rPr>
          <w:rFonts w:hint="default" w:ascii="宋体" w:hAnsi="宋体"/>
          <w:sz w:val="28"/>
          <w:szCs w:val="28"/>
          <w:lang w:val="en-US" w:eastAsia="zh-CN"/>
        </w:rPr>
      </w:pPr>
      <w:r>
        <w:rPr>
          <w:rFonts w:hint="default" w:ascii="Times New Roman" w:hAnsi="Times New Roman" w:cs="Times New Roman"/>
          <w:bCs/>
          <w:sz w:val="24"/>
        </w:rPr>
        <w:t>▲</w:t>
      </w:r>
      <w:r>
        <w:rPr>
          <w:rFonts w:hint="eastAsia" w:ascii="宋体" w:hAnsi="宋体"/>
          <w:sz w:val="28"/>
          <w:szCs w:val="28"/>
          <w:lang w:val="en-US" w:eastAsia="zh-CN"/>
        </w:rPr>
        <w:t>8.</w:t>
      </w:r>
      <w:r>
        <w:rPr>
          <w:rFonts w:hint="eastAsia" w:ascii="宋体" w:hAnsi="宋体"/>
          <w:sz w:val="28"/>
          <w:szCs w:val="28"/>
          <w:lang w:eastAsia="zh-CN"/>
        </w:rPr>
        <w:t>电池免消毒，数量</w:t>
      </w:r>
      <w:r>
        <w:rPr>
          <w:rFonts w:hint="eastAsia" w:ascii="宋体" w:hAnsi="宋体" w:cs="宋体"/>
          <w:b w:val="0"/>
          <w:bCs w:val="0"/>
          <w:sz w:val="28"/>
          <w:szCs w:val="28"/>
          <w:lang w:val="en-US" w:eastAsia="zh-CN"/>
        </w:rPr>
        <w:t>≥2块</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9.充电器一个、钻头夹一个、夹头钥匙一个、消毒通道两个</w:t>
      </w:r>
    </w:p>
    <w:p>
      <w:pPr>
        <w:rPr>
          <w:rFonts w:hint="eastAsia"/>
        </w:rPr>
      </w:pPr>
      <w:r>
        <w:rPr>
          <w:rFonts w:hint="eastAsia" w:ascii="宋体" w:hAnsi="宋体" w:cs="宋体"/>
          <w:b w:val="0"/>
          <w:bCs w:val="0"/>
          <w:sz w:val="28"/>
          <w:szCs w:val="28"/>
          <w:lang w:val="en-US" w:eastAsia="zh-CN"/>
        </w:rPr>
        <w:t>10.自验收合格之日起计整机免费原厂保修期≥3年（包含维护、保养、维修及所有零配件等）</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8" w:name="_Toc4795"/>
      <w:bookmarkStart w:id="49"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8"/>
      <w:bookmarkEnd w:id="4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50" w:name="_Toc9145"/>
      <w:bookmarkStart w:id="51" w:name="_Toc97049027"/>
      <w:bookmarkStart w:id="52" w:name="_Toc97042591"/>
      <w:bookmarkStart w:id="53" w:name="_Toc97049016"/>
      <w:bookmarkStart w:id="54" w:name="_Toc97048645"/>
      <w:bookmarkStart w:id="55" w:name="_Toc10033"/>
      <w:bookmarkStart w:id="56" w:name="_Toc97048967"/>
      <w:bookmarkStart w:id="57" w:name="_Toc9704946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8" w:name="_Toc30510"/>
      <w:bookmarkStart w:id="59" w:name="_Toc27945"/>
      <w:r>
        <w:rPr>
          <w:rStyle w:val="155"/>
          <w:rFonts w:hint="eastAsia" w:ascii="宋体" w:hAnsi="宋体" w:eastAsia="宋体" w:cs="宋体"/>
          <w:b/>
          <w:bCs/>
        </w:rPr>
        <w:t>第三章 报名文件资料模板</w:t>
      </w:r>
      <w:bookmarkEnd w:id="58"/>
      <w:bookmarkEnd w:id="59"/>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60" w:name="_第一章__报_名_邀_请_函"/>
    </w:p>
    <w:bookmarkEnd w:id="60"/>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61" w:name="_Toc13947"/>
          <w:bookmarkStart w:id="62" w:name="_Toc19581"/>
          <w:bookmarkStart w:id="63" w:name="_Toc23927923"/>
          <w:r>
            <w:rPr>
              <w:rFonts w:hint="eastAsia" w:ascii="宋体" w:hAnsi="宋体" w:eastAsia="宋体" w:cs="宋体"/>
              <w:sz w:val="36"/>
              <w:szCs w:val="36"/>
            </w:rPr>
            <w:t>报名文件目录</w:t>
          </w:r>
          <w:bookmarkEnd w:id="61"/>
          <w:bookmarkEnd w:id="62"/>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3"/>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4" w:name="_Toc31526"/>
      <w:r>
        <w:rPr>
          <w:rFonts w:hint="eastAsia" w:ascii="宋体" w:hAnsi="宋体" w:cs="宋体"/>
          <w:b/>
          <w:bCs/>
          <w:sz w:val="32"/>
          <w:szCs w:val="32"/>
        </w:rPr>
        <w:t>详细评审索引目录表</w:t>
      </w:r>
      <w:bookmarkEnd w:id="64"/>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5" w:name="_Toc4689"/>
            <w:bookmarkStart w:id="66" w:name="_Toc16667"/>
            <w:r>
              <w:rPr>
                <w:rFonts w:hint="default" w:ascii="Times New Roman" w:hAnsi="Times New Roman" w:eastAsia="宋体" w:cs="Times New Roman"/>
                <w:b/>
                <w:bCs/>
                <w:kern w:val="0"/>
                <w:sz w:val="24"/>
                <w:szCs w:val="24"/>
              </w:rPr>
              <w:t>文件名称</w:t>
            </w:r>
            <w:bookmarkEnd w:id="65"/>
            <w:bookmarkEnd w:id="66"/>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8265"/>
            <w:bookmarkStart w:id="68" w:name="_Toc12812"/>
            <w:r>
              <w:rPr>
                <w:rFonts w:hint="default" w:ascii="Times New Roman" w:hAnsi="Times New Roman" w:eastAsia="宋体" w:cs="Times New Roman"/>
                <w:b/>
                <w:bCs/>
                <w:sz w:val="24"/>
                <w:szCs w:val="24"/>
                <w:vertAlign w:val="baseline"/>
                <w:lang w:val="en-US" w:eastAsia="zh-CN"/>
              </w:rPr>
              <w:t>有</w:t>
            </w:r>
            <w:bookmarkEnd w:id="67"/>
            <w:bookmarkEnd w:id="68"/>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9" w:name="_Toc30507"/>
            <w:bookmarkStart w:id="70" w:name="_Toc26826"/>
            <w:r>
              <w:rPr>
                <w:rFonts w:hint="default" w:ascii="Times New Roman" w:hAnsi="Times New Roman" w:eastAsia="宋体" w:cs="Times New Roman"/>
                <w:b/>
                <w:bCs/>
                <w:sz w:val="24"/>
                <w:szCs w:val="24"/>
                <w:vertAlign w:val="baseline"/>
                <w:lang w:val="en-US" w:eastAsia="zh-CN"/>
              </w:rPr>
              <w:t>无</w:t>
            </w:r>
            <w:bookmarkEnd w:id="69"/>
            <w:bookmarkEnd w:id="70"/>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5"/>
            <w:bookmarkStart w:id="72" w:name="_Toc12697"/>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13033"/>
            <w:bookmarkStart w:id="74" w:name="_Toc19726"/>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5" w:name="_Toc7613"/>
            <w:bookmarkStart w:id="76" w:name="_Toc5040"/>
            <w:r>
              <w:rPr>
                <w:rFonts w:hint="default" w:ascii="Times New Roman" w:hAnsi="Times New Roman" w:eastAsia="宋体" w:cs="Times New Roman"/>
                <w:b/>
                <w:kern w:val="0"/>
                <w:sz w:val="24"/>
                <w:szCs w:val="24"/>
              </w:rPr>
              <w:t>文件</w:t>
            </w:r>
            <w:bookmarkEnd w:id="75"/>
            <w:bookmarkEnd w:id="76"/>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7" w:name="_Toc7010"/>
      <w:r>
        <w:rPr>
          <w:rFonts w:hint="eastAsia" w:ascii="宋体" w:hAnsi="宋体" w:cs="宋体"/>
          <w:b/>
          <w:sz w:val="30"/>
          <w:szCs w:val="30"/>
        </w:rPr>
        <w:t>初步评审自查表</w:t>
      </w:r>
      <w:bookmarkEnd w:id="77"/>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8" w:name="_Toc15784"/>
      <w:r>
        <w:rPr>
          <w:rFonts w:hint="eastAsia" w:ascii="宋体" w:hAnsi="宋体" w:cs="宋体"/>
          <w:b/>
          <w:sz w:val="30"/>
          <w:szCs w:val="30"/>
        </w:rPr>
        <w:t>商务评审自查表</w:t>
      </w:r>
      <w:bookmarkEnd w:id="78"/>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9" w:name="_Toc17525"/>
      <w:r>
        <w:rPr>
          <w:rFonts w:hint="eastAsia" w:ascii="宋体" w:hAnsi="宋体" w:cs="宋体"/>
          <w:b/>
          <w:sz w:val="30"/>
          <w:szCs w:val="30"/>
        </w:rPr>
        <w:t>技术评审自查表</w:t>
      </w:r>
      <w:bookmarkEnd w:id="79"/>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80"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80"/>
    <w:p>
      <w:pPr>
        <w:pStyle w:val="3"/>
        <w:pageBreakBefore/>
        <w:jc w:val="center"/>
        <w:rPr>
          <w:rFonts w:ascii="宋体" w:hAnsi="宋体" w:eastAsia="宋体" w:cs="宋体"/>
          <w:sz w:val="30"/>
          <w:szCs w:val="30"/>
        </w:rPr>
      </w:pPr>
      <w:bookmarkStart w:id="81" w:name="_Toc23072"/>
      <w:r>
        <w:rPr>
          <w:rFonts w:hint="eastAsia" w:ascii="宋体" w:hAnsi="宋体" w:eastAsia="宋体" w:cs="宋体"/>
          <w:sz w:val="30"/>
          <w:szCs w:val="30"/>
        </w:rPr>
        <w:t>其他商务及技术响应情况表</w:t>
      </w:r>
      <w:bookmarkEnd w:id="81"/>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2" w:name="_Toc542"/>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2"/>
    </w:p>
    <w:p>
      <w:pPr>
        <w:pStyle w:val="12"/>
        <w:spacing w:line="360" w:lineRule="auto"/>
        <w:jc w:val="center"/>
        <w:rPr>
          <w:rFonts w:ascii="宋体" w:hAnsi="宋体" w:cs="宋体"/>
          <w:b/>
          <w:bCs/>
          <w:sz w:val="30"/>
          <w:szCs w:val="30"/>
        </w:rPr>
      </w:pPr>
      <w:bookmarkStart w:id="83" w:name="_Toc385940900"/>
      <w:bookmarkStart w:id="84" w:name="_Toc76354921"/>
      <w:bookmarkStart w:id="85" w:name="_Toc50737299"/>
      <w:bookmarkStart w:id="86" w:name="_Toc50736473"/>
      <w:bookmarkStart w:id="87" w:name="_Toc50691028"/>
      <w:bookmarkStart w:id="88" w:name="_Toc50691040"/>
      <w:bookmarkStart w:id="89" w:name="_Toc52165083"/>
      <w:bookmarkStart w:id="90" w:name="_Toc50737325"/>
      <w:bookmarkStart w:id="91" w:name="_Toc50737331"/>
      <w:bookmarkStart w:id="92" w:name="_Toc50736479"/>
      <w:bookmarkStart w:id="93" w:name="_Toc50737293"/>
      <w:bookmarkStart w:id="94" w:name="_Toc52165077"/>
      <w:bookmarkStart w:id="95" w:name="_Toc76354927"/>
      <w:r>
        <w:rPr>
          <w:rFonts w:hint="eastAsia" w:ascii="宋体" w:hAnsi="宋体" w:cs="宋体"/>
          <w:b/>
          <w:bCs/>
          <w:sz w:val="30"/>
          <w:szCs w:val="30"/>
        </w:rPr>
        <w:t>报名函</w:t>
      </w:r>
      <w:bookmarkEnd w:id="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6"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6"/>
    </w:p>
    <w:p>
      <w:pPr>
        <w:pStyle w:val="12"/>
        <w:spacing w:line="360" w:lineRule="auto"/>
        <w:ind w:firstLine="602" w:firstLineChars="200"/>
        <w:jc w:val="center"/>
        <w:rPr>
          <w:rFonts w:ascii="宋体" w:hAnsi="宋体" w:cs="宋体"/>
          <w:b/>
          <w:bCs/>
          <w:sz w:val="30"/>
          <w:szCs w:val="30"/>
        </w:rPr>
      </w:pPr>
      <w:bookmarkStart w:id="97"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7"/>
    </w:p>
    <w:p>
      <w:pPr>
        <w:spacing w:line="360" w:lineRule="auto"/>
        <w:ind w:firstLine="420" w:firstLineChars="200"/>
        <w:rPr>
          <w:b/>
        </w:rPr>
      </w:pPr>
      <w:bookmarkStart w:id="98" w:name="_Toc50691029"/>
      <w:bookmarkStart w:id="99" w:name="_Toc50703722"/>
      <w:bookmarkStart w:id="100"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101" w:name="_Toc1427"/>
      <w:r>
        <w:rPr>
          <w:rFonts w:hint="eastAsia" w:ascii="宋体" w:hAnsi="宋体" w:eastAsia="宋体" w:cs="宋体"/>
          <w:b/>
          <w:bCs/>
          <w:kern w:val="2"/>
          <w:sz w:val="24"/>
          <w:szCs w:val="24"/>
          <w:lang w:val="en-US" w:eastAsia="zh-CN" w:bidi="ar-SA"/>
        </w:rPr>
        <w:t>报名人基本情况表</w:t>
      </w:r>
      <w:bookmarkEnd w:id="101"/>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02" w:name="_Toc18537"/>
      <w:r>
        <w:rPr>
          <w:rFonts w:hint="eastAsia" w:ascii="宋体" w:hAnsi="宋体" w:cs="宋体"/>
          <w:b/>
          <w:bCs/>
        </w:rPr>
        <w:t>法定代表人（负责人）证明书</w:t>
      </w:r>
      <w:bookmarkEnd w:id="102"/>
    </w:p>
    <w:p>
      <w:pPr>
        <w:pStyle w:val="12"/>
        <w:spacing w:line="360" w:lineRule="auto"/>
        <w:jc w:val="center"/>
        <w:rPr>
          <w:rFonts w:ascii="宋体" w:hAnsi="宋体" w:cs="宋体"/>
          <w:b/>
          <w:bCs/>
          <w:sz w:val="30"/>
          <w:szCs w:val="30"/>
        </w:rPr>
      </w:pPr>
      <w:bookmarkStart w:id="103" w:name="_Toc385940902"/>
      <w:r>
        <w:rPr>
          <w:rFonts w:hint="eastAsia" w:ascii="宋体" w:hAnsi="宋体" w:cs="宋体"/>
          <w:b/>
          <w:bCs/>
          <w:sz w:val="30"/>
          <w:szCs w:val="30"/>
        </w:rPr>
        <w:t>法定代表人（负责人）证明书</w:t>
      </w:r>
      <w:bookmarkEnd w:id="103"/>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8"/>
    <w:bookmarkEnd w:id="99"/>
    <w:bookmarkEnd w:id="100"/>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4" w:name="_Toc20891"/>
      <w:bookmarkStart w:id="105"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4"/>
      <w:bookmarkEnd w:id="105"/>
    </w:p>
    <w:p>
      <w:pPr>
        <w:pStyle w:val="12"/>
        <w:numPr>
          <w:ilvl w:val="0"/>
          <w:numId w:val="16"/>
        </w:numPr>
        <w:spacing w:line="360" w:lineRule="auto"/>
        <w:ind w:left="0" w:firstLine="482" w:firstLineChars="200"/>
        <w:outlineLvl w:val="1"/>
        <w:rPr>
          <w:rFonts w:hint="eastAsia" w:ascii="宋体" w:hAnsi="宋体" w:eastAsia="宋体" w:cs="宋体"/>
          <w:b/>
          <w:bCs/>
        </w:rPr>
      </w:pPr>
      <w:bookmarkStart w:id="106" w:name="_Toc3672"/>
      <w:r>
        <w:rPr>
          <w:rFonts w:hint="eastAsia" w:ascii="宋体" w:hAnsi="宋体" w:eastAsia="宋体" w:cs="宋体"/>
          <w:b/>
          <w:bCs/>
        </w:rPr>
        <w:t>法定代表人（负责人）证明书</w:t>
      </w:r>
      <w:bookmarkEnd w:id="106"/>
      <w:bookmarkStart w:id="107" w:name="_Toc76354925"/>
      <w:bookmarkStart w:id="108" w:name="_Toc50737329"/>
      <w:bookmarkStart w:id="109" w:name="_Toc50736477"/>
      <w:bookmarkStart w:id="110" w:name="_Toc52165081"/>
      <w:bookmarkStart w:id="111" w:name="_Toc50737297"/>
    </w:p>
    <w:p>
      <w:pPr>
        <w:pStyle w:val="12"/>
        <w:spacing w:line="360" w:lineRule="auto"/>
        <w:jc w:val="center"/>
        <w:rPr>
          <w:rFonts w:ascii="宋体" w:hAnsi="宋体" w:cs="宋体"/>
          <w:b/>
          <w:bCs/>
          <w:sz w:val="30"/>
          <w:szCs w:val="30"/>
        </w:rPr>
      </w:pPr>
      <w:bookmarkStart w:id="112" w:name="_Toc385940903"/>
      <w:r>
        <w:rPr>
          <w:rFonts w:hint="eastAsia" w:ascii="宋体" w:hAnsi="宋体" w:cs="宋体"/>
          <w:b/>
          <w:bCs/>
          <w:sz w:val="30"/>
          <w:szCs w:val="30"/>
        </w:rPr>
        <w:t>法定代表人（负责人）授权委托书</w:t>
      </w:r>
      <w:bookmarkEnd w:id="107"/>
      <w:bookmarkEnd w:id="108"/>
      <w:bookmarkEnd w:id="109"/>
      <w:bookmarkEnd w:id="110"/>
      <w:bookmarkEnd w:id="111"/>
      <w:bookmarkEnd w:id="112"/>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3" w:name="_Toc385940905"/>
    </w:p>
    <w:p>
      <w:pPr>
        <w:pStyle w:val="12"/>
        <w:numPr>
          <w:ilvl w:val="0"/>
          <w:numId w:val="16"/>
        </w:numPr>
        <w:spacing w:line="360" w:lineRule="auto"/>
        <w:ind w:left="0" w:firstLine="482" w:firstLineChars="200"/>
        <w:outlineLvl w:val="1"/>
        <w:rPr>
          <w:rFonts w:ascii="宋体" w:hAnsi="宋体" w:cs="宋体"/>
          <w:b/>
          <w:bCs/>
        </w:rPr>
      </w:pPr>
      <w:bookmarkStart w:id="114" w:name="_Toc9946"/>
      <w:r>
        <w:rPr>
          <w:rFonts w:hint="eastAsia" w:ascii="宋体" w:hAnsi="宋体" w:eastAsia="宋体" w:cs="宋体"/>
          <w:b/>
          <w:bCs/>
          <w:lang w:val="en-US"/>
        </w:rPr>
        <w:t>生产厂家（制造商或总代理商）授权委托书</w:t>
      </w:r>
      <w:bookmarkEnd w:id="114"/>
    </w:p>
    <w:p>
      <w:pPr>
        <w:pStyle w:val="12"/>
        <w:ind w:firstLine="361" w:firstLineChars="200"/>
        <w:rPr>
          <w:rFonts w:ascii="宋体" w:hAnsi="宋体" w:cs="宋体"/>
          <w:b/>
          <w:bCs/>
          <w:sz w:val="18"/>
          <w:szCs w:val="18"/>
        </w:rPr>
      </w:pPr>
      <w:bookmarkStart w:id="115" w:name="_Toc385940904"/>
    </w:p>
    <w:bookmarkEnd w:id="115"/>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6" w:name="_Toc10774"/>
      <w:r>
        <w:rPr>
          <w:rFonts w:hint="eastAsia" w:ascii="宋体" w:hAnsi="宋体" w:eastAsia="宋体" w:cs="宋体"/>
          <w:b/>
          <w:bCs/>
          <w:lang w:val="en-US"/>
        </w:rPr>
        <w:br w:type="page"/>
      </w:r>
    </w:p>
    <w:bookmarkEnd w:id="116"/>
    <w:p>
      <w:pPr>
        <w:pStyle w:val="12"/>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7" w:name="_Toc28136"/>
      <w:bookmarkStart w:id="118" w:name="_Toc20295"/>
      <w:r>
        <w:rPr>
          <w:rFonts w:hint="eastAsia" w:ascii="宋体" w:hAnsi="宋体" w:cs="宋体"/>
          <w:b/>
          <w:bCs/>
          <w:sz w:val="32"/>
          <w:szCs w:val="32"/>
        </w:rPr>
        <w:t>报价一览表</w:t>
      </w:r>
      <w:bookmarkEnd w:id="113"/>
      <w:bookmarkEnd w:id="117"/>
      <w:bookmarkEnd w:id="118"/>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sz w:val="24"/>
        </w:rPr>
      </w:pPr>
      <w:bookmarkStart w:id="119" w:name="_Toc21366"/>
      <w:r>
        <w:rPr>
          <w:rStyle w:val="138"/>
          <w:rFonts w:hint="eastAsia" w:ascii="宋体" w:eastAsia="宋体"/>
          <w:sz w:val="24"/>
        </w:rPr>
        <w:t>★实质性要求响应表</w:t>
      </w:r>
      <w:bookmarkEnd w:id="119"/>
    </w:p>
    <w:p>
      <w:pPr>
        <w:pStyle w:val="12"/>
        <w:spacing w:line="360" w:lineRule="auto"/>
        <w:ind w:firstLine="482" w:firstLineChars="200"/>
        <w:jc w:val="center"/>
        <w:rPr>
          <w:rFonts w:ascii="宋体" w:hAnsi="宋体" w:cs="宋体"/>
          <w:b/>
          <w:szCs w:val="21"/>
        </w:rPr>
      </w:pPr>
      <w:bookmarkStart w:id="120"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20"/>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4"/>
      <w:bookmarkEnd w:id="85"/>
      <w:bookmarkEnd w:id="86"/>
      <w:bookmarkEnd w:id="87"/>
      <w:bookmarkEnd w:id="88"/>
      <w:bookmarkEnd w:id="89"/>
      <w:bookmarkEnd w:id="90"/>
      <w:bookmarkEnd w:id="91"/>
      <w:bookmarkEnd w:id="92"/>
      <w:bookmarkEnd w:id="93"/>
      <w:bookmarkEnd w:id="94"/>
      <w:bookmarkEnd w:id="95"/>
      <w:bookmarkStart w:id="121" w:name="_Toc50737326"/>
      <w:bookmarkStart w:id="122" w:name="_Toc76354922"/>
      <w:bookmarkStart w:id="123" w:name="_Toc50736474"/>
      <w:bookmarkStart w:id="124" w:name="_Toc50691030"/>
      <w:bookmarkStart w:id="125" w:name="_Toc50737294"/>
      <w:bookmarkStart w:id="126" w:name="_Toc52165078"/>
    </w:p>
    <w:p>
      <w:pPr>
        <w:pStyle w:val="12"/>
        <w:numPr>
          <w:ilvl w:val="0"/>
          <w:numId w:val="16"/>
        </w:numPr>
        <w:spacing w:line="360" w:lineRule="auto"/>
        <w:ind w:left="0" w:firstLine="482" w:firstLineChars="200"/>
        <w:outlineLvl w:val="1"/>
        <w:rPr>
          <w:rFonts w:ascii="宋体" w:hAnsi="宋体" w:cs="宋体"/>
          <w:b/>
          <w:bCs/>
          <w:sz w:val="24"/>
        </w:rPr>
      </w:pPr>
      <w:bookmarkStart w:id="127"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7"/>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Style w:val="138"/>
          <w:rFonts w:hint="eastAsia" w:ascii="宋体" w:hAnsi="宋体" w:eastAsia="宋体" w:cs="宋体"/>
          <w:sz w:val="24"/>
        </w:rPr>
      </w:pPr>
      <w:bookmarkStart w:id="128"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8"/>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9" w:name="_Toc10170"/>
      <w:r>
        <w:rPr>
          <w:rFonts w:hint="eastAsia" w:ascii="宋体" w:hAnsi="宋体" w:cs="宋体"/>
          <w:b/>
          <w:bCs/>
          <w:lang w:val="en-US" w:eastAsia="zh-CN"/>
        </w:rPr>
        <w:t>一般</w:t>
      </w:r>
      <w:r>
        <w:rPr>
          <w:rFonts w:hint="eastAsia" w:ascii="宋体" w:hAnsi="宋体" w:cs="宋体"/>
          <w:b/>
          <w:bCs/>
        </w:rPr>
        <w:t>商务要求响应表</w:t>
      </w:r>
      <w:bookmarkEnd w:id="129"/>
    </w:p>
    <w:bookmarkEnd w:id="121"/>
    <w:bookmarkEnd w:id="122"/>
    <w:bookmarkEnd w:id="123"/>
    <w:bookmarkEnd w:id="124"/>
    <w:bookmarkEnd w:id="125"/>
    <w:bookmarkEnd w:id="126"/>
    <w:p>
      <w:pPr>
        <w:pStyle w:val="12"/>
        <w:spacing w:line="360" w:lineRule="auto"/>
        <w:ind w:firstLine="602" w:firstLineChars="200"/>
        <w:jc w:val="center"/>
        <w:rPr>
          <w:rFonts w:ascii="宋体" w:hAnsi="宋体" w:cs="宋体"/>
          <w:b/>
          <w:bCs/>
          <w:sz w:val="30"/>
          <w:szCs w:val="30"/>
        </w:rPr>
      </w:pPr>
      <w:bookmarkStart w:id="130"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30"/>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31" w:name="_Toc23542"/>
      <w:r>
        <w:rPr>
          <w:rFonts w:hint="eastAsia" w:ascii="宋体" w:hAnsi="宋体" w:cs="宋体"/>
          <w:b/>
          <w:bCs/>
        </w:rPr>
        <w:t>同类项目业绩一览表</w:t>
      </w:r>
      <w:bookmarkEnd w:id="131"/>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2" w:name="_Toc385940909"/>
    </w:p>
    <w:p>
      <w:pPr>
        <w:pStyle w:val="32"/>
        <w:rPr>
          <w:rFonts w:ascii="宋体" w:hAnsi="宋体" w:cs="宋体"/>
          <w:szCs w:val="21"/>
        </w:rPr>
      </w:pPr>
      <w:r>
        <w:rPr>
          <w:rFonts w:hint="eastAsia" w:ascii="宋体" w:hAnsi="宋体" w:cs="宋体"/>
          <w:b/>
          <w:bCs/>
        </w:rPr>
        <w:br w:type="page"/>
      </w:r>
      <w:bookmarkEnd w:id="132"/>
    </w:p>
    <w:p>
      <w:pPr>
        <w:pStyle w:val="12"/>
        <w:numPr>
          <w:ilvl w:val="0"/>
          <w:numId w:val="16"/>
        </w:numPr>
        <w:spacing w:line="360" w:lineRule="auto"/>
        <w:ind w:left="0" w:firstLine="482" w:firstLineChars="200"/>
        <w:outlineLvl w:val="1"/>
        <w:rPr>
          <w:rFonts w:ascii="宋体" w:hAnsi="宋体" w:cs="宋体"/>
          <w:b/>
          <w:bCs/>
        </w:rPr>
      </w:pPr>
      <w:bookmarkStart w:id="133" w:name="_Toc3205"/>
      <w:r>
        <w:rPr>
          <w:rFonts w:hint="eastAsia" w:ascii="宋体" w:hAnsi="宋体" w:cs="宋体"/>
          <w:b/>
          <w:bCs/>
        </w:rPr>
        <w:t>报名货物详细技术资料及配置清单</w:t>
      </w:r>
      <w:bookmarkEnd w:id="133"/>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4" w:name="_Toc385940914"/>
      <w:r>
        <w:rPr>
          <w:rFonts w:hint="eastAsia" w:ascii="宋体" w:hAnsi="宋体" w:cs="宋体"/>
          <w:b/>
          <w:bCs/>
          <w:sz w:val="30"/>
          <w:szCs w:val="30"/>
        </w:rPr>
        <w:t>报名货物详细技术资料及配置清单</w:t>
      </w:r>
      <w:bookmarkEnd w:id="134"/>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bookmarkStart w:id="135" w:name="_Toc20992"/>
      <w:r>
        <w:rPr>
          <w:rFonts w:hint="eastAsia" w:ascii="宋体" w:hAnsi="宋体" w:cs="宋体"/>
          <w:b/>
          <w:bCs/>
          <w:lang w:val="en-US" w:eastAsia="zh-CN"/>
        </w:rPr>
        <w:t>售后服务方案</w:t>
      </w:r>
      <w:bookmarkEnd w:id="135"/>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6" w:name="_Toc32586"/>
      <w:r>
        <w:rPr>
          <w:rFonts w:hint="eastAsia" w:ascii="宋体" w:hAnsi="宋体" w:cs="宋体"/>
          <w:b/>
          <w:bCs/>
          <w:lang w:val="en-US" w:eastAsia="zh-CN"/>
        </w:rPr>
        <w:t>售后服务方案</w:t>
      </w:r>
      <w:bookmarkEnd w:id="136"/>
    </w:p>
    <w:p>
      <w:pPr>
        <w:pStyle w:val="12"/>
        <w:spacing w:line="360" w:lineRule="auto"/>
        <w:jc w:val="center"/>
        <w:outlineLvl w:val="1"/>
        <w:rPr>
          <w:rFonts w:hint="eastAsia" w:ascii="宋体" w:hAnsi="宋体" w:cs="宋体"/>
          <w:sz w:val="21"/>
          <w:szCs w:val="21"/>
        </w:rPr>
      </w:pPr>
      <w:bookmarkStart w:id="137"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7"/>
    </w:p>
    <w:p>
      <w:pPr>
        <w:pStyle w:val="12"/>
        <w:numPr>
          <w:ilvl w:val="0"/>
          <w:numId w:val="23"/>
        </w:numPr>
        <w:spacing w:line="360" w:lineRule="auto"/>
        <w:jc w:val="both"/>
        <w:outlineLvl w:val="1"/>
        <w:rPr>
          <w:rFonts w:hint="eastAsia" w:ascii="宋体" w:hAnsi="宋体" w:cs="宋体"/>
          <w:lang w:val="en-US" w:eastAsia="zh-CN"/>
        </w:rPr>
      </w:pPr>
      <w:bookmarkStart w:id="138" w:name="_Toc31094"/>
      <w:r>
        <w:rPr>
          <w:rFonts w:hint="eastAsia" w:ascii="宋体" w:hAnsi="宋体" w:cs="宋体"/>
          <w:lang w:val="en-US" w:eastAsia="zh-CN"/>
        </w:rPr>
        <w:t>售后服务计划</w:t>
      </w:r>
      <w:bookmarkEnd w:id="138"/>
    </w:p>
    <w:p>
      <w:pPr>
        <w:pStyle w:val="12"/>
        <w:numPr>
          <w:ilvl w:val="0"/>
          <w:numId w:val="23"/>
        </w:numPr>
        <w:spacing w:line="360" w:lineRule="auto"/>
        <w:jc w:val="both"/>
        <w:outlineLvl w:val="1"/>
        <w:rPr>
          <w:rFonts w:hint="default" w:ascii="宋体" w:hAnsi="宋体" w:cs="宋体"/>
          <w:lang w:val="en-US" w:eastAsia="zh-CN"/>
        </w:rPr>
      </w:pPr>
      <w:bookmarkStart w:id="139" w:name="_Toc26164"/>
      <w:r>
        <w:rPr>
          <w:rFonts w:hint="eastAsia" w:ascii="宋体" w:hAnsi="宋体" w:cs="宋体"/>
          <w:lang w:val="en-US" w:eastAsia="zh-CN"/>
        </w:rPr>
        <w:t>维修保障方案</w:t>
      </w:r>
      <w:bookmarkEnd w:id="139"/>
    </w:p>
    <w:p>
      <w:pPr>
        <w:pStyle w:val="12"/>
        <w:numPr>
          <w:ilvl w:val="0"/>
          <w:numId w:val="23"/>
        </w:numPr>
        <w:spacing w:line="360" w:lineRule="auto"/>
        <w:jc w:val="both"/>
        <w:outlineLvl w:val="1"/>
        <w:rPr>
          <w:rFonts w:hint="default" w:ascii="宋体" w:hAnsi="宋体" w:cs="宋体"/>
          <w:lang w:val="en-US" w:eastAsia="zh-CN"/>
        </w:rPr>
      </w:pPr>
      <w:bookmarkStart w:id="140" w:name="_Toc28889"/>
      <w:r>
        <w:rPr>
          <w:rFonts w:hint="eastAsia" w:ascii="宋体" w:hAnsi="宋体" w:cs="宋体"/>
          <w:lang w:val="en-US" w:eastAsia="zh-CN"/>
        </w:rPr>
        <w:t>应急保障措施</w:t>
      </w:r>
      <w:bookmarkEnd w:id="140"/>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1" w:name="_Toc607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41"/>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2" w:name="_Toc25171"/>
      <w:r>
        <w:rPr>
          <w:rFonts w:hint="eastAsia" w:ascii="宋体" w:hAnsi="宋体" w:cs="宋体"/>
          <w:b/>
          <w:bCs/>
          <w:lang w:val="en-US" w:eastAsia="zh-CN"/>
        </w:rPr>
        <w:t>产品技术先进性和可靠性</w:t>
      </w:r>
      <w:bookmarkEnd w:id="142"/>
    </w:p>
    <w:p>
      <w:pPr>
        <w:pStyle w:val="12"/>
        <w:spacing w:line="360" w:lineRule="auto"/>
        <w:jc w:val="center"/>
        <w:outlineLvl w:val="1"/>
        <w:rPr>
          <w:rFonts w:hint="eastAsia" w:ascii="宋体" w:hAnsi="宋体" w:cs="宋体"/>
          <w:sz w:val="21"/>
          <w:szCs w:val="21"/>
        </w:rPr>
      </w:pPr>
      <w:bookmarkStart w:id="143"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3"/>
    </w:p>
    <w:p>
      <w:pPr>
        <w:pStyle w:val="12"/>
        <w:numPr>
          <w:ilvl w:val="0"/>
          <w:numId w:val="24"/>
        </w:numPr>
        <w:spacing w:line="360" w:lineRule="auto"/>
        <w:jc w:val="both"/>
        <w:outlineLvl w:val="1"/>
        <w:rPr>
          <w:rFonts w:hint="eastAsia" w:ascii="宋体" w:hAnsi="宋体" w:cs="宋体"/>
          <w:lang w:val="en-US" w:eastAsia="zh-CN"/>
        </w:rPr>
      </w:pPr>
      <w:bookmarkStart w:id="144" w:name="_Toc28402"/>
      <w:r>
        <w:rPr>
          <w:rFonts w:hint="eastAsia" w:ascii="宋体" w:hAnsi="宋体" w:cs="宋体"/>
          <w:lang w:val="en-US" w:eastAsia="zh-CN"/>
        </w:rPr>
        <w:t>先进性技术说明</w:t>
      </w:r>
      <w:bookmarkEnd w:id="144"/>
    </w:p>
    <w:p>
      <w:pPr>
        <w:pStyle w:val="12"/>
        <w:numPr>
          <w:ilvl w:val="0"/>
          <w:numId w:val="24"/>
        </w:numPr>
        <w:spacing w:line="360" w:lineRule="auto"/>
        <w:jc w:val="both"/>
        <w:outlineLvl w:val="1"/>
        <w:rPr>
          <w:rFonts w:hint="default" w:ascii="宋体" w:hAnsi="宋体" w:cs="宋体"/>
          <w:lang w:val="en-US" w:eastAsia="zh-CN"/>
        </w:rPr>
      </w:pPr>
      <w:bookmarkStart w:id="145" w:name="_Toc6487"/>
      <w:r>
        <w:rPr>
          <w:rFonts w:hint="eastAsia" w:ascii="宋体" w:hAnsi="宋体" w:cs="宋体"/>
          <w:lang w:val="en-US" w:eastAsia="zh-CN"/>
        </w:rPr>
        <w:t>质量的安全性、稳定性说明</w:t>
      </w:r>
      <w:bookmarkEnd w:id="145"/>
    </w:p>
    <w:p>
      <w:pPr>
        <w:pStyle w:val="12"/>
        <w:numPr>
          <w:ilvl w:val="0"/>
          <w:numId w:val="24"/>
        </w:numPr>
        <w:spacing w:line="360" w:lineRule="auto"/>
        <w:jc w:val="both"/>
        <w:outlineLvl w:val="1"/>
        <w:rPr>
          <w:rFonts w:hint="default" w:ascii="宋体" w:hAnsi="宋体" w:cs="宋体"/>
          <w:lang w:val="en-US" w:eastAsia="zh-CN"/>
        </w:rPr>
      </w:pPr>
      <w:bookmarkStart w:id="146" w:name="_Toc1803"/>
      <w:r>
        <w:rPr>
          <w:rFonts w:hint="eastAsia" w:ascii="宋体" w:hAnsi="宋体" w:cs="宋体"/>
          <w:lang w:val="en-US" w:eastAsia="zh-CN"/>
        </w:rPr>
        <w:t>选型和配置说明</w:t>
      </w:r>
      <w:bookmarkEnd w:id="146"/>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7" w:name="_Toc184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7"/>
    </w:p>
    <w:p>
      <w:pPr>
        <w:pStyle w:val="12"/>
        <w:numPr>
          <w:ilvl w:val="0"/>
          <w:numId w:val="0"/>
        </w:numPr>
        <w:spacing w:line="360" w:lineRule="auto"/>
        <w:jc w:val="center"/>
        <w:outlineLvl w:val="1"/>
        <w:rPr>
          <w:rFonts w:ascii="宋体" w:hAnsi="宋体" w:eastAsia="宋体" w:cs="宋体"/>
          <w:b/>
          <w:bCs/>
          <w:sz w:val="28"/>
          <w:szCs w:val="28"/>
        </w:rPr>
      </w:pPr>
      <w:bookmarkStart w:id="148" w:name="_Toc27269"/>
      <w:bookmarkStart w:id="149"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8"/>
      <w:bookmarkEnd w:id="149"/>
    </w:p>
    <w:p>
      <w:pPr>
        <w:pStyle w:val="12"/>
        <w:spacing w:line="360" w:lineRule="auto"/>
        <w:jc w:val="center"/>
        <w:outlineLvl w:val="1"/>
        <w:rPr>
          <w:rFonts w:hint="eastAsia" w:ascii="宋体" w:hAnsi="宋体" w:cs="宋体"/>
          <w:sz w:val="21"/>
          <w:szCs w:val="21"/>
        </w:rPr>
      </w:pPr>
      <w:bookmarkStart w:id="150" w:name="_Toc4321"/>
      <w:bookmarkStart w:id="151" w:name="_Toc32022"/>
      <w:bookmarkStart w:id="152"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0"/>
      <w:bookmarkEnd w:id="151"/>
      <w:bookmarkEnd w:id="152"/>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3" w:name="_Toc18502"/>
      <w:bookmarkEnd w:id="153"/>
    </w:p>
    <w:p>
      <w:pPr>
        <w:pStyle w:val="12"/>
        <w:numPr>
          <w:ilvl w:val="0"/>
          <w:numId w:val="16"/>
        </w:numPr>
        <w:spacing w:line="360" w:lineRule="auto"/>
        <w:ind w:left="0" w:leftChars="0" w:firstLine="482" w:firstLineChars="200"/>
        <w:outlineLvl w:val="1"/>
        <w:rPr>
          <w:rFonts w:hint="eastAsia" w:ascii="宋体" w:hAnsi="宋体" w:cs="宋体"/>
        </w:rPr>
      </w:pPr>
      <w:bookmarkStart w:id="154" w:name="_Toc32733"/>
      <w:r>
        <w:rPr>
          <w:rFonts w:hint="eastAsia" w:ascii="宋体" w:hAnsi="宋体" w:eastAsia="宋体" w:cs="宋体"/>
          <w:b/>
          <w:bCs/>
          <w:lang w:val="en-US" w:eastAsia="zh-CN"/>
        </w:rPr>
        <w:t>技术培训方案</w:t>
      </w:r>
      <w:bookmarkEnd w:id="154"/>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5"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5"/>
    </w:p>
    <w:p>
      <w:pPr>
        <w:pStyle w:val="12"/>
        <w:numPr>
          <w:ilvl w:val="0"/>
          <w:numId w:val="24"/>
        </w:numPr>
        <w:spacing w:line="360" w:lineRule="auto"/>
        <w:jc w:val="both"/>
        <w:outlineLvl w:val="1"/>
        <w:rPr>
          <w:rFonts w:hint="eastAsia" w:ascii="宋体" w:hAnsi="宋体" w:cs="宋体"/>
          <w:lang w:val="en-US" w:eastAsia="zh-CN"/>
        </w:rPr>
      </w:pPr>
      <w:bookmarkStart w:id="156" w:name="_Toc21916"/>
      <w:r>
        <w:rPr>
          <w:rFonts w:hint="eastAsia" w:ascii="宋体" w:hAnsi="宋体" w:cs="宋体"/>
          <w:lang w:val="en-US" w:eastAsia="zh-CN"/>
        </w:rPr>
        <w:t>培训计划</w:t>
      </w:r>
      <w:bookmarkEnd w:id="156"/>
    </w:p>
    <w:p>
      <w:pPr>
        <w:pStyle w:val="12"/>
        <w:numPr>
          <w:ilvl w:val="0"/>
          <w:numId w:val="24"/>
        </w:numPr>
        <w:spacing w:line="360" w:lineRule="auto"/>
        <w:jc w:val="both"/>
        <w:outlineLvl w:val="1"/>
        <w:rPr>
          <w:rFonts w:hint="eastAsia" w:ascii="宋体" w:hAnsi="宋体" w:cs="宋体"/>
        </w:rPr>
      </w:pPr>
      <w:bookmarkStart w:id="157" w:name="_Toc12616"/>
      <w:r>
        <w:rPr>
          <w:rFonts w:hint="eastAsia" w:ascii="宋体" w:hAnsi="宋体" w:cs="宋体"/>
          <w:lang w:val="en-US" w:eastAsia="zh-CN"/>
        </w:rPr>
        <w:t>培训人员</w:t>
      </w:r>
      <w:bookmarkEnd w:id="157"/>
    </w:p>
    <w:p>
      <w:pPr>
        <w:pStyle w:val="12"/>
        <w:numPr>
          <w:ilvl w:val="0"/>
          <w:numId w:val="24"/>
        </w:numPr>
        <w:spacing w:line="360" w:lineRule="auto"/>
        <w:jc w:val="both"/>
        <w:outlineLvl w:val="1"/>
        <w:rPr>
          <w:rFonts w:ascii="宋体" w:hAnsi="宋体" w:cs="宋体"/>
          <w:lang w:val="zh-CN"/>
        </w:rPr>
      </w:pPr>
      <w:bookmarkStart w:id="158" w:name="_Toc5644"/>
      <w:r>
        <w:rPr>
          <w:rFonts w:hint="eastAsia" w:ascii="宋体" w:hAnsi="宋体" w:cs="宋体"/>
          <w:lang w:val="en-US" w:eastAsia="zh-CN"/>
        </w:rPr>
        <w:t>培训方法</w:t>
      </w:r>
      <w:bookmarkEnd w:id="158"/>
    </w:p>
    <w:p>
      <w:pPr>
        <w:pStyle w:val="12"/>
        <w:numPr>
          <w:ilvl w:val="0"/>
          <w:numId w:val="24"/>
        </w:numPr>
        <w:spacing w:line="360" w:lineRule="auto"/>
        <w:jc w:val="both"/>
        <w:outlineLvl w:val="1"/>
        <w:rPr>
          <w:rFonts w:ascii="宋体" w:hAnsi="宋体" w:cs="宋体"/>
          <w:lang w:val="zh-CN"/>
        </w:rPr>
      </w:pPr>
      <w:bookmarkStart w:id="159" w:name="_Toc9680"/>
      <w:r>
        <w:rPr>
          <w:rFonts w:hint="eastAsia" w:ascii="宋体" w:hAnsi="宋体" w:cs="宋体"/>
          <w:lang w:val="en-US" w:eastAsia="zh-CN"/>
        </w:rPr>
        <w:t>培训内容（至少包含临床使用及维护保养培训）</w:t>
      </w:r>
      <w:bookmarkEnd w:id="159"/>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50"/>
    <w:bookmarkEnd w:id="51"/>
    <w:bookmarkEnd w:id="52"/>
    <w:bookmarkEnd w:id="53"/>
    <w:bookmarkEnd w:id="54"/>
    <w:bookmarkEnd w:id="55"/>
    <w:bookmarkEnd w:id="56"/>
    <w:bookmarkEnd w:id="57"/>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419AAA4"/>
    <w:multiLevelType w:val="singleLevel"/>
    <w:tmpl w:val="A419AAA4"/>
    <w:lvl w:ilvl="0" w:tentative="0">
      <w:start w:val="2"/>
      <w:numFmt w:val="chineseCounting"/>
      <w:suff w:val="nothing"/>
      <w:lvlText w:val="(%1）"/>
      <w:lvlJc w:val="left"/>
      <w:rPr>
        <w:rFonts w:hint="eastAsia"/>
      </w:rPr>
    </w:lvl>
  </w:abstractNum>
  <w:abstractNum w:abstractNumId="4">
    <w:nsid w:val="B8AE99C7"/>
    <w:multiLevelType w:val="singleLevel"/>
    <w:tmpl w:val="B8AE99C7"/>
    <w:lvl w:ilvl="0" w:tentative="0">
      <w:start w:val="1"/>
      <w:numFmt w:val="chineseCounting"/>
      <w:suff w:val="nothing"/>
      <w:lvlText w:val="%1、"/>
      <w:lvlJc w:val="left"/>
      <w:rPr>
        <w:rFonts w:hint="eastAsia"/>
      </w:rPr>
    </w:lvl>
  </w:abstractNum>
  <w:abstractNum w:abstractNumId="5">
    <w:nsid w:val="CE707FC6"/>
    <w:multiLevelType w:val="singleLevel"/>
    <w:tmpl w:val="CE707FC6"/>
    <w:lvl w:ilvl="0" w:tentative="0">
      <w:start w:val="1"/>
      <w:numFmt w:val="chineseCounting"/>
      <w:suff w:val="nothing"/>
      <w:lvlText w:val="%1、"/>
      <w:lvlJc w:val="left"/>
      <w:rPr>
        <w:rFonts w:hint="eastAsia"/>
      </w:rPr>
    </w:lvl>
  </w:abstractNum>
  <w:abstractNum w:abstractNumId="6">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23"/>
  </w:num>
  <w:num w:numId="10">
    <w:abstractNumId w:val="2"/>
  </w:num>
  <w:num w:numId="11">
    <w:abstractNumId w:val="13"/>
  </w:num>
  <w:num w:numId="12">
    <w:abstractNumId w:val="9"/>
  </w:num>
  <w:num w:numId="13">
    <w:abstractNumId w:val="24"/>
  </w:num>
  <w:num w:numId="14">
    <w:abstractNumId w:val="6"/>
  </w:num>
  <w:num w:numId="15">
    <w:abstractNumId w:val="7"/>
  </w:num>
  <w:num w:numId="16">
    <w:abstractNumId w:val="14"/>
  </w:num>
  <w:num w:numId="17">
    <w:abstractNumId w:val="16"/>
  </w:num>
  <w:num w:numId="18">
    <w:abstractNumId w:val="0"/>
  </w:num>
  <w:num w:numId="19">
    <w:abstractNumId w:val="12"/>
  </w:num>
  <w:num w:numId="20">
    <w:abstractNumId w:val="17"/>
  </w:num>
  <w:num w:numId="21">
    <w:abstractNumId w:val="8"/>
  </w:num>
  <w:num w:numId="22">
    <w:abstractNumId w:val="11"/>
  </w:num>
  <w:num w:numId="23">
    <w:abstractNumId w:val="10"/>
  </w:num>
  <w:num w:numId="24">
    <w:abstractNumId w:val="5"/>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2044F"/>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8E7727B"/>
    <w:rsid w:val="390662FA"/>
    <w:rsid w:val="3976741E"/>
    <w:rsid w:val="39A16D33"/>
    <w:rsid w:val="39B72494"/>
    <w:rsid w:val="3A2C2A74"/>
    <w:rsid w:val="3A82321E"/>
    <w:rsid w:val="3AFC3F77"/>
    <w:rsid w:val="3B2C184B"/>
    <w:rsid w:val="3B4E14F1"/>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6783"/>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CE3136F"/>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6CE44FF"/>
    <w:rsid w:val="77991C4E"/>
    <w:rsid w:val="77EE647A"/>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EBF6986"/>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2024-12-27T01:41:01Z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