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新生儿亚低温治疗仪采购项目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453"/>
      <w:bookmarkStart w:id="6" w:name="_Toc97049019"/>
      <w:bookmarkStart w:id="7" w:name="_Toc23897"/>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是指新生儿亚低温治疗仪采购项目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30</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5</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bookmarkStart w:id="158" w:name="_GoBack"/>
            <w:bookmarkEnd w:id="158"/>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eastAsia="zh-CN"/>
              </w:rPr>
              <w:t>新生儿亚低温治疗仪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0"/>
        </w:numPr>
        <w:jc w:val="both"/>
        <w:rPr>
          <w:rFonts w:hint="eastAsia" w:ascii="宋体" w:hAnsi="宋体" w:cs="宋体"/>
          <w:b w:val="0"/>
          <w:bCs w:val="0"/>
          <w:color w:val="auto"/>
          <w:sz w:val="28"/>
          <w:szCs w:val="28"/>
          <w:lang w:val="en-US" w:eastAsia="zh-CN"/>
        </w:rPr>
      </w:pPr>
      <w:bookmarkStart w:id="43" w:name="_Toc22606"/>
      <w:bookmarkStart w:id="44" w:name="_Toc24364"/>
      <w:bookmarkStart w:id="45" w:name="_Toc49938637"/>
      <w:r>
        <w:rPr>
          <w:rFonts w:hint="eastAsia" w:ascii="宋体" w:hAnsi="宋体" w:cs="宋体"/>
          <w:b w:val="0"/>
          <w:bCs w:val="0"/>
          <w:color w:val="auto"/>
          <w:sz w:val="28"/>
          <w:szCs w:val="28"/>
          <w:lang w:val="en-US" w:eastAsia="zh-CN"/>
        </w:rPr>
        <w:t>1.适用于新生儿、儿童患者（≤10KG），可对患者全身或局部进行物理降温或升温</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2.具备≥3种温度控制模式</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3.最低设置体温≤30℃、最高设置体温设置≥40℃</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4.最低测量体温≤25℃、最高测量体温设置≥45℃</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5.水温控制精度≤±1.5℃、体温控制精度≤±0.3℃</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6.空载制冷≥0.7 ℃/min 、空载制热≥1℃/min</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7.具备声光报警功能、温度保护功能</w:t>
      </w:r>
    </w:p>
    <w:p>
      <w:pPr>
        <w:widowControl w:val="0"/>
        <w:numPr>
          <w:ilvl w:val="0"/>
          <w:numId w:val="0"/>
        </w:numPr>
        <w:jc w:val="both"/>
        <w:rPr>
          <w:rFonts w:hint="default"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8.标配大痰和小痰</w:t>
      </w:r>
    </w:p>
    <w:p>
      <w:pPr>
        <w:widowControl w:val="0"/>
        <w:numPr>
          <w:ilvl w:val="0"/>
          <w:numId w:val="0"/>
        </w:numPr>
        <w:jc w:val="both"/>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9.需配置台车及收纳功能</w:t>
      </w:r>
    </w:p>
    <w:p>
      <w:r>
        <w:rPr>
          <w:rFonts w:hint="eastAsia"/>
          <w:sz w:val="28"/>
          <w:szCs w:val="28"/>
        </w:rPr>
        <w:t>1</w:t>
      </w:r>
      <w:r>
        <w:rPr>
          <w:rFonts w:hint="eastAsia"/>
          <w:sz w:val="28"/>
          <w:szCs w:val="28"/>
          <w:lang w:val="en-US" w:eastAsia="zh-CN"/>
        </w:rPr>
        <w:t>0</w:t>
      </w:r>
      <w:r>
        <w:rPr>
          <w:rFonts w:hint="eastAsia"/>
          <w:sz w:val="28"/>
          <w:szCs w:val="28"/>
        </w:rPr>
        <w:t>.</w:t>
      </w:r>
      <w:r>
        <w:rPr>
          <w:rFonts w:hint="eastAsia" w:ascii="宋体" w:hAnsi="宋体"/>
          <w:sz w:val="28"/>
          <w:szCs w:val="28"/>
        </w:rPr>
        <w:t xml:space="preserve"> 自验收合格之日起计整机免费原厂保修期≥3年（包含维护、保养、维修、更换所有零配件等）</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2024-10-22T02:27:20Z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