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大体摄像系统采购项目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2024年10</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97049014"/>
      <w:bookmarkStart w:id="2" w:name="_Toc22955"/>
      <w:bookmarkStart w:id="3" w:name="_Toc97048959"/>
      <w:bookmarkStart w:id="4" w:name="_Toc97049019"/>
      <w:bookmarkStart w:id="5" w:name="_Toc23897"/>
      <w:bookmarkStart w:id="6" w:name="_Toc97042583"/>
      <w:bookmarkStart w:id="7" w:name="_Toc97048637"/>
      <w:bookmarkStart w:id="8" w:name="_Toc97049453"/>
      <w:bookmarkStart w:id="9" w:name="_Toc54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是指大体摄像系统采购项目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3</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27</w:t>
            </w:r>
            <w:bookmarkStart w:id="158" w:name="_GoBack"/>
            <w:bookmarkEnd w:id="158"/>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27</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4600"/>
      <w:bookmarkStart w:id="29" w:name="_Toc97049015"/>
      <w:bookmarkStart w:id="30" w:name="_Toc97048642"/>
      <w:bookmarkStart w:id="31" w:name="_Toc19972"/>
      <w:bookmarkStart w:id="32" w:name="_Toc17854"/>
      <w:bookmarkStart w:id="33" w:name="_Toc19293"/>
      <w:bookmarkStart w:id="34" w:name="_Toc97049458"/>
      <w:bookmarkStart w:id="35" w:name="_Toc97042588"/>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eastAsia="zh-CN"/>
              </w:rPr>
              <w:t>大体摄像系统</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2</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widowControl w:val="0"/>
        <w:numPr>
          <w:ilvl w:val="0"/>
          <w:numId w:val="0"/>
        </w:numPr>
        <w:jc w:val="both"/>
        <w:rPr>
          <w:rFonts w:hint="eastAsia" w:ascii="宋体" w:hAnsi="宋体" w:cs="宋体"/>
          <w:b w:val="0"/>
          <w:bCs w:val="0"/>
          <w:sz w:val="28"/>
          <w:szCs w:val="28"/>
          <w:lang w:val="en-US" w:eastAsia="zh-CN"/>
        </w:rPr>
      </w:pPr>
      <w:bookmarkStart w:id="43" w:name="_Toc22606"/>
      <w:bookmarkStart w:id="44" w:name="_Toc24364"/>
      <w:bookmarkStart w:id="45" w:name="_Toc49938637"/>
      <w:r>
        <w:rPr>
          <w:rFonts w:hint="eastAsia" w:ascii="宋体" w:hAnsi="宋体" w:cs="宋体"/>
          <w:b w:val="0"/>
          <w:bCs w:val="0"/>
          <w:sz w:val="28"/>
          <w:szCs w:val="28"/>
          <w:lang w:val="en-US" w:eastAsia="zh-CN"/>
        </w:rPr>
        <w:t>1.摄像头成像像数≥2000万，传感器≥1英寸</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2.光学变焦范围：不窄于25~90cm。数字变焦≥10倍</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3.光圈范围：不窄于F3.3-F5.9</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4.具备自动、手动白平衡功能</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5.具备脚踏、手动、语音控制图像变焦及拍照、录像的功能</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6.配套软件提供多种测量工具、具有多种图像处理功能</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7.支持病理科管理系统对接</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8.配套软件终身免费维护、更新</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9.自验收合格之日起计整机免费原厂保修期≥3年（包含维护、保养、维修及所有零配件等）</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736474"/>
      <w:bookmarkStart w:id="123" w:name="_Toc50691030"/>
      <w:bookmarkStart w:id="124" w:name="_Toc50737294"/>
    </w:p>
    <w:p>
      <w:pPr>
        <w:pStyle w:val="9"/>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AA45254"/>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24A0297"/>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24455A"/>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2024-10-22T02:03:24Z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